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29" w:type="dxa"/>
        <w:tblInd w:w="154" w:type="dxa"/>
        <w:tblLayout w:type="fixed"/>
        <w:tblCellMar>
          <w:left w:w="0" w:type="dxa"/>
          <w:right w:w="0" w:type="dxa"/>
        </w:tblCellMar>
        <w:tblLook w:val="01E0" w:firstRow="1" w:lastRow="1" w:firstColumn="1" w:lastColumn="1" w:noHBand="0" w:noVBand="0"/>
      </w:tblPr>
      <w:tblGrid>
        <w:gridCol w:w="6287"/>
        <w:gridCol w:w="4642"/>
      </w:tblGrid>
      <w:tr w:rsidR="0082498B" w14:paraId="01DBCB61" w14:textId="77777777" w:rsidTr="003145CD">
        <w:trPr>
          <w:trHeight w:val="294"/>
        </w:trPr>
        <w:tc>
          <w:tcPr>
            <w:tcW w:w="6287" w:type="dxa"/>
          </w:tcPr>
          <w:p w14:paraId="1F5FCD96" w14:textId="77777777" w:rsidR="0082498B" w:rsidRDefault="00053B29">
            <w:pPr>
              <w:pStyle w:val="TableParagraph"/>
              <w:spacing w:line="268" w:lineRule="exact"/>
              <w:ind w:left="112"/>
              <w:rPr>
                <w:rFonts w:ascii="Arial"/>
                <w:sz w:val="24"/>
              </w:rPr>
            </w:pPr>
            <w:r>
              <w:rPr>
                <w:rFonts w:ascii="Arial"/>
                <w:sz w:val="24"/>
              </w:rPr>
              <w:t>WEST</w:t>
            </w:r>
            <w:r>
              <w:rPr>
                <w:rFonts w:ascii="Arial"/>
                <w:spacing w:val="-3"/>
                <w:sz w:val="24"/>
              </w:rPr>
              <w:t xml:space="preserve"> </w:t>
            </w:r>
            <w:r>
              <w:rPr>
                <w:rFonts w:ascii="Arial"/>
                <w:sz w:val="24"/>
              </w:rPr>
              <w:t>LONDON</w:t>
            </w:r>
            <w:r>
              <w:rPr>
                <w:rFonts w:ascii="Arial"/>
                <w:spacing w:val="-4"/>
                <w:sz w:val="24"/>
              </w:rPr>
              <w:t xml:space="preserve"> </w:t>
            </w:r>
            <w:r>
              <w:rPr>
                <w:rFonts w:ascii="Arial"/>
                <w:sz w:val="24"/>
              </w:rPr>
              <w:t>WASTE</w:t>
            </w:r>
            <w:r>
              <w:rPr>
                <w:rFonts w:ascii="Arial"/>
                <w:spacing w:val="-1"/>
                <w:sz w:val="24"/>
              </w:rPr>
              <w:t xml:space="preserve"> </w:t>
            </w:r>
            <w:r>
              <w:rPr>
                <w:rFonts w:ascii="Arial"/>
                <w:sz w:val="24"/>
              </w:rPr>
              <w:t>AUTHORITY</w:t>
            </w:r>
          </w:p>
        </w:tc>
        <w:tc>
          <w:tcPr>
            <w:tcW w:w="4642" w:type="dxa"/>
          </w:tcPr>
          <w:p w14:paraId="395EB894" w14:textId="77777777" w:rsidR="0082498B" w:rsidRDefault="0082498B">
            <w:pPr>
              <w:pStyle w:val="TableParagraph"/>
              <w:rPr>
                <w:rFonts w:ascii="Times New Roman"/>
              </w:rPr>
            </w:pPr>
          </w:p>
        </w:tc>
      </w:tr>
      <w:tr w:rsidR="0082498B" w14:paraId="3C6E31E2" w14:textId="77777777" w:rsidTr="003145CD">
        <w:trPr>
          <w:trHeight w:val="393"/>
        </w:trPr>
        <w:tc>
          <w:tcPr>
            <w:tcW w:w="6287" w:type="dxa"/>
          </w:tcPr>
          <w:p w14:paraId="6815F1E5" w14:textId="1CF29040" w:rsidR="0082498B" w:rsidRDefault="00053B29">
            <w:pPr>
              <w:pStyle w:val="TableParagraph"/>
              <w:spacing w:before="120"/>
              <w:ind w:left="112"/>
              <w:rPr>
                <w:rFonts w:ascii="Arial"/>
                <w:sz w:val="24"/>
              </w:rPr>
            </w:pPr>
            <w:r>
              <w:rPr>
                <w:rFonts w:ascii="Arial"/>
                <w:sz w:val="24"/>
              </w:rPr>
              <w:t>Report</w:t>
            </w:r>
            <w:r>
              <w:rPr>
                <w:rFonts w:ascii="Arial"/>
                <w:spacing w:val="-1"/>
                <w:sz w:val="24"/>
              </w:rPr>
              <w:t xml:space="preserve"> </w:t>
            </w:r>
            <w:r>
              <w:rPr>
                <w:rFonts w:ascii="Arial"/>
                <w:sz w:val="24"/>
              </w:rPr>
              <w:t>of</w:t>
            </w:r>
            <w:r>
              <w:rPr>
                <w:rFonts w:ascii="Arial"/>
                <w:spacing w:val="-1"/>
                <w:sz w:val="24"/>
              </w:rPr>
              <w:t xml:space="preserve"> </w:t>
            </w:r>
            <w:r>
              <w:rPr>
                <w:rFonts w:ascii="Arial"/>
                <w:sz w:val="24"/>
              </w:rPr>
              <w:t>the</w:t>
            </w:r>
            <w:r w:rsidR="003F7F75">
              <w:rPr>
                <w:rFonts w:ascii="Arial"/>
                <w:sz w:val="24"/>
              </w:rPr>
              <w:t xml:space="preserve"> Projects Director</w:t>
            </w:r>
          </w:p>
        </w:tc>
        <w:tc>
          <w:tcPr>
            <w:tcW w:w="4642" w:type="dxa"/>
          </w:tcPr>
          <w:p w14:paraId="2CEDDE19" w14:textId="4004499F" w:rsidR="0082498B" w:rsidRDefault="003A15C9" w:rsidP="00B67577">
            <w:pPr>
              <w:pStyle w:val="TableParagraph"/>
              <w:spacing w:before="115"/>
              <w:ind w:left="1929"/>
              <w:rPr>
                <w:rFonts w:ascii="Arial"/>
                <w:sz w:val="24"/>
              </w:rPr>
            </w:pPr>
            <w:r>
              <w:rPr>
                <w:rFonts w:ascii="Arial"/>
                <w:sz w:val="24"/>
              </w:rPr>
              <w:t xml:space="preserve">22 </w:t>
            </w:r>
            <w:r w:rsidR="00D958FC">
              <w:rPr>
                <w:rFonts w:ascii="Arial"/>
                <w:sz w:val="24"/>
              </w:rPr>
              <w:t>March 2024</w:t>
            </w:r>
          </w:p>
        </w:tc>
      </w:tr>
      <w:tr w:rsidR="0082498B" w14:paraId="542252ED" w14:textId="77777777" w:rsidTr="003145CD">
        <w:trPr>
          <w:trHeight w:val="572"/>
        </w:trPr>
        <w:tc>
          <w:tcPr>
            <w:tcW w:w="6287" w:type="dxa"/>
            <w:tcBorders>
              <w:bottom w:val="single" w:sz="4" w:space="0" w:color="000000"/>
            </w:tcBorders>
          </w:tcPr>
          <w:p w14:paraId="6A7C8BE8" w14:textId="44E6A7CF" w:rsidR="00184773" w:rsidRDefault="001F3A40" w:rsidP="00184773">
            <w:pPr>
              <w:pStyle w:val="TableParagraph"/>
              <w:spacing w:before="116"/>
              <w:ind w:left="112"/>
              <w:rPr>
                <w:rFonts w:ascii="Arial"/>
                <w:b/>
                <w:sz w:val="24"/>
              </w:rPr>
            </w:pPr>
            <w:r>
              <w:rPr>
                <w:rFonts w:ascii="Arial"/>
                <w:b/>
                <w:sz w:val="24"/>
              </w:rPr>
              <w:t xml:space="preserve">Waste </w:t>
            </w:r>
            <w:r w:rsidR="00184773">
              <w:rPr>
                <w:rFonts w:ascii="Arial"/>
                <w:b/>
                <w:sz w:val="24"/>
              </w:rPr>
              <w:t>c</w:t>
            </w:r>
            <w:r>
              <w:rPr>
                <w:rFonts w:ascii="Arial"/>
                <w:b/>
                <w:sz w:val="24"/>
              </w:rPr>
              <w:t>omposition analysis</w:t>
            </w:r>
            <w:r w:rsidR="00184773">
              <w:rPr>
                <w:rFonts w:ascii="Arial"/>
                <w:b/>
                <w:sz w:val="24"/>
              </w:rPr>
              <w:t xml:space="preserve"> report</w:t>
            </w:r>
          </w:p>
        </w:tc>
        <w:tc>
          <w:tcPr>
            <w:tcW w:w="4642" w:type="dxa"/>
            <w:tcBorders>
              <w:bottom w:val="single" w:sz="4" w:space="0" w:color="000000"/>
            </w:tcBorders>
          </w:tcPr>
          <w:p w14:paraId="47103732" w14:textId="77777777" w:rsidR="0082498B" w:rsidRDefault="0082498B">
            <w:pPr>
              <w:pStyle w:val="TableParagraph"/>
              <w:rPr>
                <w:rFonts w:ascii="Times New Roman"/>
              </w:rPr>
            </w:pPr>
          </w:p>
        </w:tc>
      </w:tr>
      <w:tr w:rsidR="0082498B" w14:paraId="3E38526B" w14:textId="77777777" w:rsidTr="003145CD">
        <w:trPr>
          <w:trHeight w:val="900"/>
        </w:trPr>
        <w:tc>
          <w:tcPr>
            <w:tcW w:w="10929" w:type="dxa"/>
            <w:gridSpan w:val="2"/>
            <w:tcBorders>
              <w:top w:val="single" w:sz="4" w:space="0" w:color="000000"/>
              <w:left w:val="single" w:sz="4" w:space="0" w:color="000000"/>
              <w:bottom w:val="single" w:sz="4" w:space="0" w:color="000000"/>
              <w:right w:val="single" w:sz="4" w:space="0" w:color="000000"/>
            </w:tcBorders>
          </w:tcPr>
          <w:p w14:paraId="73F668A8" w14:textId="136896AD" w:rsidR="00BC0E41" w:rsidRPr="00F30E90" w:rsidRDefault="00F30E90" w:rsidP="00F30E90">
            <w:pPr>
              <w:tabs>
                <w:tab w:val="left" w:pos="507"/>
              </w:tabs>
              <w:spacing w:before="93"/>
              <w:ind w:left="701" w:right="222"/>
              <w:rPr>
                <w:sz w:val="24"/>
              </w:rPr>
            </w:pPr>
            <w:r>
              <w:rPr>
                <w:sz w:val="24"/>
              </w:rPr>
              <w:tab/>
            </w:r>
            <w:r w:rsidR="00053B29" w:rsidRPr="00F30E90">
              <w:rPr>
                <w:sz w:val="24"/>
              </w:rPr>
              <w:t>This report provides</w:t>
            </w:r>
            <w:r w:rsidR="003828A1" w:rsidRPr="00F30E90">
              <w:rPr>
                <w:sz w:val="24"/>
              </w:rPr>
              <w:t xml:space="preserve"> an update on the</w:t>
            </w:r>
            <w:r w:rsidR="00BC0E41" w:rsidRPr="00F30E90">
              <w:rPr>
                <w:sz w:val="24"/>
              </w:rPr>
              <w:t xml:space="preserve"> WLWA</w:t>
            </w:r>
            <w:r w:rsidR="00D958FC" w:rsidRPr="00F30E90">
              <w:rPr>
                <w:sz w:val="24"/>
              </w:rPr>
              <w:t xml:space="preserve"> residual waste composition analysis</w:t>
            </w:r>
            <w:r>
              <w:rPr>
                <w:sz w:val="24"/>
              </w:rPr>
              <w:t xml:space="preserve"> and the impacts and opportunities arising from upcoming legislative change</w:t>
            </w:r>
            <w:r w:rsidR="003828A1" w:rsidRPr="00F30E90">
              <w:rPr>
                <w:sz w:val="24"/>
              </w:rPr>
              <w:t>.</w:t>
            </w:r>
          </w:p>
          <w:p w14:paraId="4B00275F" w14:textId="51634B3C" w:rsidR="00F30E90" w:rsidRDefault="00F30E90" w:rsidP="00F30E90">
            <w:pPr>
              <w:pStyle w:val="ListParagraph"/>
              <w:numPr>
                <w:ilvl w:val="0"/>
                <w:numId w:val="17"/>
              </w:numPr>
              <w:tabs>
                <w:tab w:val="left" w:pos="507"/>
              </w:tabs>
              <w:spacing w:before="93"/>
              <w:ind w:right="222"/>
              <w:rPr>
                <w:sz w:val="24"/>
              </w:rPr>
            </w:pPr>
            <w:r>
              <w:rPr>
                <w:sz w:val="24"/>
              </w:rPr>
              <w:t>Extended Producer Responsibility (EPR) will impact on c.25% of the material in residual waste. This is likely to drive material and design change and provides</w:t>
            </w:r>
            <w:r w:rsidR="00586945">
              <w:rPr>
                <w:sz w:val="24"/>
              </w:rPr>
              <w:t xml:space="preserve"> Boroughs and WLWA</w:t>
            </w:r>
            <w:r>
              <w:rPr>
                <w:sz w:val="24"/>
              </w:rPr>
              <w:t xml:space="preserve"> an opportunity to invest the</w:t>
            </w:r>
            <w:r w:rsidR="00586945">
              <w:rPr>
                <w:sz w:val="24"/>
              </w:rPr>
              <w:t xml:space="preserve"> EPR revenue in additional capture solutions.</w:t>
            </w:r>
          </w:p>
          <w:p w14:paraId="65396EC9" w14:textId="61038B4E" w:rsidR="006A77DE" w:rsidRDefault="00586945" w:rsidP="00F30E90">
            <w:pPr>
              <w:pStyle w:val="ListParagraph"/>
              <w:numPr>
                <w:ilvl w:val="0"/>
                <w:numId w:val="17"/>
              </w:numPr>
              <w:tabs>
                <w:tab w:val="left" w:pos="507"/>
              </w:tabs>
              <w:spacing w:before="93"/>
              <w:ind w:right="222"/>
              <w:rPr>
                <w:sz w:val="24"/>
              </w:rPr>
            </w:pPr>
            <w:r>
              <w:rPr>
                <w:sz w:val="24"/>
              </w:rPr>
              <w:t>The Emissions Trading Scheme (ETS) poses a significant risk to the cost of residual waste treatment with the primary fossil derived materials being non-recyclable composites, textiles, plastics and e-waste.</w:t>
            </w:r>
          </w:p>
          <w:p w14:paraId="7BAF8B02" w14:textId="77777777" w:rsidR="00F30E90" w:rsidRDefault="00801EFC" w:rsidP="00586945">
            <w:pPr>
              <w:pStyle w:val="ListParagraph"/>
              <w:numPr>
                <w:ilvl w:val="0"/>
                <w:numId w:val="17"/>
              </w:numPr>
              <w:tabs>
                <w:tab w:val="left" w:pos="507"/>
              </w:tabs>
              <w:spacing w:before="93"/>
              <w:ind w:right="222"/>
              <w:rPr>
                <w:sz w:val="24"/>
              </w:rPr>
            </w:pPr>
            <w:r>
              <w:rPr>
                <w:sz w:val="24"/>
              </w:rPr>
              <w:t xml:space="preserve">Capture rates </w:t>
            </w:r>
            <w:r w:rsidR="00586945">
              <w:rPr>
                <w:sz w:val="24"/>
              </w:rPr>
              <w:t xml:space="preserve">for the main collected recycling systems </w:t>
            </w:r>
            <w:r>
              <w:rPr>
                <w:sz w:val="24"/>
              </w:rPr>
              <w:t xml:space="preserve">are </w:t>
            </w:r>
            <w:r w:rsidR="00586945">
              <w:rPr>
                <w:sz w:val="24"/>
              </w:rPr>
              <w:t xml:space="preserve">generally </w:t>
            </w:r>
            <w:r>
              <w:rPr>
                <w:sz w:val="24"/>
              </w:rPr>
              <w:t>flat or falling slightly.</w:t>
            </w:r>
          </w:p>
          <w:p w14:paraId="40880BC5" w14:textId="16B58A21" w:rsidR="00184773" w:rsidRPr="00586945" w:rsidRDefault="00184773" w:rsidP="00184773">
            <w:pPr>
              <w:pStyle w:val="ListParagraph"/>
              <w:tabs>
                <w:tab w:val="left" w:pos="507"/>
              </w:tabs>
              <w:spacing w:before="93"/>
              <w:ind w:left="996" w:right="222" w:firstLine="0"/>
              <w:rPr>
                <w:sz w:val="24"/>
              </w:rPr>
            </w:pPr>
          </w:p>
        </w:tc>
      </w:tr>
      <w:tr w:rsidR="0082498B" w14:paraId="595F4606" w14:textId="77777777" w:rsidTr="003145CD">
        <w:trPr>
          <w:trHeight w:val="302"/>
        </w:trPr>
        <w:tc>
          <w:tcPr>
            <w:tcW w:w="10929" w:type="dxa"/>
            <w:gridSpan w:val="2"/>
            <w:tcBorders>
              <w:top w:val="single" w:sz="4" w:space="0" w:color="000000"/>
              <w:bottom w:val="single" w:sz="4" w:space="0" w:color="000000"/>
            </w:tcBorders>
          </w:tcPr>
          <w:p w14:paraId="11BEA226" w14:textId="77777777" w:rsidR="0082498B" w:rsidRDefault="0082498B">
            <w:pPr>
              <w:pStyle w:val="TableParagraph"/>
              <w:rPr>
                <w:rFonts w:ascii="Times New Roman"/>
              </w:rPr>
            </w:pPr>
          </w:p>
        </w:tc>
      </w:tr>
      <w:tr w:rsidR="0082498B" w14:paraId="4BE5F03D" w14:textId="77777777" w:rsidTr="00FA7878">
        <w:trPr>
          <w:trHeight w:val="890"/>
        </w:trPr>
        <w:tc>
          <w:tcPr>
            <w:tcW w:w="10929" w:type="dxa"/>
            <w:gridSpan w:val="2"/>
            <w:tcBorders>
              <w:top w:val="single" w:sz="4" w:space="0" w:color="000000"/>
              <w:left w:val="single" w:sz="4" w:space="0" w:color="000000"/>
              <w:bottom w:val="single" w:sz="4" w:space="0" w:color="000000"/>
              <w:right w:val="single" w:sz="4" w:space="0" w:color="000000"/>
            </w:tcBorders>
          </w:tcPr>
          <w:p w14:paraId="1104ABF5" w14:textId="71DCE046" w:rsidR="001334C4" w:rsidRPr="00FA7878" w:rsidRDefault="00053B29" w:rsidP="00FA7878">
            <w:pPr>
              <w:pStyle w:val="TableParagraph"/>
              <w:spacing w:before="118"/>
              <w:ind w:left="107"/>
              <w:rPr>
                <w:rFonts w:ascii="Arial"/>
                <w:b/>
                <w:sz w:val="24"/>
              </w:rPr>
            </w:pPr>
            <w:r>
              <w:rPr>
                <w:rFonts w:ascii="Arial"/>
                <w:b/>
                <w:sz w:val="24"/>
              </w:rPr>
              <w:t>RECOMMENDATION(S)</w:t>
            </w:r>
          </w:p>
          <w:p w14:paraId="5521CB60" w14:textId="77777777" w:rsidR="0082498B" w:rsidRDefault="00053B29">
            <w:pPr>
              <w:pStyle w:val="TableParagraph"/>
              <w:numPr>
                <w:ilvl w:val="0"/>
                <w:numId w:val="5"/>
              </w:numPr>
              <w:tabs>
                <w:tab w:val="left" w:pos="829"/>
              </w:tabs>
              <w:ind w:hanging="362"/>
              <w:rPr>
                <w:rFonts w:ascii="Arial"/>
                <w:i/>
                <w:sz w:val="24"/>
              </w:rPr>
            </w:pPr>
            <w:r>
              <w:rPr>
                <w:rFonts w:ascii="Arial"/>
                <w:i/>
                <w:sz w:val="24"/>
              </w:rPr>
              <w:t>The</w:t>
            </w:r>
            <w:r>
              <w:rPr>
                <w:rFonts w:ascii="Arial"/>
                <w:i/>
                <w:spacing w:val="-2"/>
                <w:sz w:val="24"/>
              </w:rPr>
              <w:t xml:space="preserve"> </w:t>
            </w:r>
            <w:r>
              <w:rPr>
                <w:rFonts w:ascii="Arial"/>
                <w:i/>
                <w:sz w:val="24"/>
              </w:rPr>
              <w:t>Authority</w:t>
            </w:r>
            <w:r>
              <w:rPr>
                <w:rFonts w:ascii="Arial"/>
                <w:i/>
                <w:spacing w:val="-1"/>
                <w:sz w:val="24"/>
              </w:rPr>
              <w:t xml:space="preserve"> </w:t>
            </w:r>
            <w:r>
              <w:rPr>
                <w:rFonts w:ascii="Arial"/>
                <w:i/>
                <w:sz w:val="24"/>
              </w:rPr>
              <w:t>is</w:t>
            </w:r>
            <w:r>
              <w:rPr>
                <w:rFonts w:ascii="Arial"/>
                <w:i/>
                <w:spacing w:val="-1"/>
                <w:sz w:val="24"/>
              </w:rPr>
              <w:t xml:space="preserve"> </w:t>
            </w:r>
            <w:r>
              <w:rPr>
                <w:rFonts w:ascii="Arial"/>
                <w:i/>
                <w:sz w:val="24"/>
              </w:rPr>
              <w:t>asked</w:t>
            </w:r>
            <w:r>
              <w:rPr>
                <w:rFonts w:ascii="Arial"/>
                <w:i/>
                <w:spacing w:val="-3"/>
                <w:sz w:val="24"/>
              </w:rPr>
              <w:t xml:space="preserve"> </w:t>
            </w:r>
            <w:r>
              <w:rPr>
                <w:rFonts w:ascii="Arial"/>
                <w:i/>
                <w:sz w:val="24"/>
              </w:rPr>
              <w:t>to note</w:t>
            </w:r>
            <w:r>
              <w:rPr>
                <w:rFonts w:ascii="Arial"/>
                <w:i/>
                <w:spacing w:val="-2"/>
                <w:sz w:val="24"/>
              </w:rPr>
              <w:t xml:space="preserve"> </w:t>
            </w:r>
            <w:r>
              <w:rPr>
                <w:rFonts w:ascii="Arial"/>
                <w:i/>
                <w:sz w:val="24"/>
              </w:rPr>
              <w:t>the</w:t>
            </w:r>
            <w:r w:rsidR="001334C4">
              <w:rPr>
                <w:rFonts w:ascii="Arial"/>
                <w:i/>
                <w:sz w:val="24"/>
              </w:rPr>
              <w:t xml:space="preserve"> </w:t>
            </w:r>
            <w:r>
              <w:rPr>
                <w:rFonts w:ascii="Arial"/>
                <w:i/>
                <w:sz w:val="24"/>
              </w:rPr>
              <w:t>information</w:t>
            </w:r>
            <w:r>
              <w:rPr>
                <w:rFonts w:ascii="Arial"/>
                <w:i/>
                <w:spacing w:val="-3"/>
                <w:sz w:val="24"/>
              </w:rPr>
              <w:t xml:space="preserve"> </w:t>
            </w:r>
            <w:r>
              <w:rPr>
                <w:rFonts w:ascii="Arial"/>
                <w:i/>
                <w:sz w:val="24"/>
              </w:rPr>
              <w:t>within</w:t>
            </w:r>
            <w:r>
              <w:rPr>
                <w:rFonts w:ascii="Arial"/>
                <w:i/>
                <w:spacing w:val="-3"/>
                <w:sz w:val="24"/>
              </w:rPr>
              <w:t xml:space="preserve"> </w:t>
            </w:r>
            <w:r>
              <w:rPr>
                <w:rFonts w:ascii="Arial"/>
                <w:i/>
                <w:sz w:val="24"/>
              </w:rPr>
              <w:t>this</w:t>
            </w:r>
            <w:r>
              <w:rPr>
                <w:rFonts w:ascii="Arial"/>
                <w:i/>
                <w:spacing w:val="-1"/>
                <w:sz w:val="24"/>
              </w:rPr>
              <w:t xml:space="preserve"> </w:t>
            </w:r>
            <w:r>
              <w:rPr>
                <w:rFonts w:ascii="Arial"/>
                <w:i/>
                <w:sz w:val="24"/>
              </w:rPr>
              <w:t>report.</w:t>
            </w:r>
          </w:p>
          <w:p w14:paraId="0B18A7B1" w14:textId="200AB0D2" w:rsidR="00184773" w:rsidRDefault="00184773" w:rsidP="00184773">
            <w:pPr>
              <w:pStyle w:val="TableParagraph"/>
              <w:tabs>
                <w:tab w:val="left" w:pos="829"/>
              </w:tabs>
              <w:ind w:left="828"/>
              <w:rPr>
                <w:rFonts w:ascii="Arial"/>
                <w:i/>
                <w:sz w:val="24"/>
              </w:rPr>
            </w:pPr>
          </w:p>
        </w:tc>
      </w:tr>
    </w:tbl>
    <w:p w14:paraId="4F3E442D" w14:textId="77777777" w:rsidR="0082498B" w:rsidRDefault="0082498B">
      <w:pPr>
        <w:pStyle w:val="BodyText"/>
        <w:spacing w:before="5"/>
        <w:rPr>
          <w:rFonts w:ascii="Times New Roman"/>
          <w:sz w:val="13"/>
        </w:rPr>
      </w:pPr>
    </w:p>
    <w:p w14:paraId="0D2CC117" w14:textId="46AA2F65" w:rsidR="00D958FC" w:rsidRPr="00D958FC" w:rsidRDefault="00E0665A" w:rsidP="00D958FC">
      <w:pPr>
        <w:pStyle w:val="ListParagraph"/>
        <w:numPr>
          <w:ilvl w:val="0"/>
          <w:numId w:val="4"/>
        </w:numPr>
        <w:tabs>
          <w:tab w:val="left" w:pos="507"/>
        </w:tabs>
        <w:spacing w:before="93"/>
        <w:ind w:right="222" w:hanging="171"/>
        <w:rPr>
          <w:sz w:val="24"/>
        </w:rPr>
      </w:pPr>
      <w:r>
        <w:rPr>
          <w:b/>
          <w:sz w:val="24"/>
        </w:rPr>
        <w:t>Introduction</w:t>
      </w:r>
    </w:p>
    <w:p w14:paraId="33DA706A" w14:textId="77777777" w:rsidR="00D958FC" w:rsidRPr="00692513" w:rsidRDefault="00D958FC" w:rsidP="00692513">
      <w:pPr>
        <w:tabs>
          <w:tab w:val="left" w:pos="507"/>
        </w:tabs>
        <w:spacing w:before="93"/>
        <w:ind w:left="360" w:right="222"/>
        <w:rPr>
          <w:sz w:val="24"/>
        </w:rPr>
      </w:pPr>
      <w:r w:rsidRPr="00692513">
        <w:rPr>
          <w:sz w:val="24"/>
        </w:rPr>
        <w:t xml:space="preserve">The 2023 waste composition analysis has been completed by Integrated Skills Ltd (ISL). The sampling of the residual waste took place during December. To ensure consistency of methodology ISL also revisited the data from previous waste composition analysis so that we have a consistent dataset. </w:t>
      </w:r>
    </w:p>
    <w:p w14:paraId="4C81A2E8" w14:textId="55E56570" w:rsidR="00D958FC" w:rsidRPr="00692513" w:rsidRDefault="00D958FC" w:rsidP="00692513">
      <w:pPr>
        <w:tabs>
          <w:tab w:val="left" w:pos="507"/>
        </w:tabs>
        <w:spacing w:before="93"/>
        <w:ind w:left="360" w:right="222"/>
        <w:rPr>
          <w:sz w:val="24"/>
        </w:rPr>
      </w:pPr>
      <w:r w:rsidRPr="00692513">
        <w:rPr>
          <w:sz w:val="24"/>
        </w:rPr>
        <w:t xml:space="preserve">Officers are working with ISL and Boroughs to establish the service context for the results and opportunities arising for improvements in capture and data. </w:t>
      </w:r>
    </w:p>
    <w:p w14:paraId="3529AEB2" w14:textId="6AC3BAA9" w:rsidR="00692513" w:rsidRPr="00FA7878" w:rsidRDefault="00D958FC" w:rsidP="00FA7878">
      <w:pPr>
        <w:tabs>
          <w:tab w:val="left" w:pos="507"/>
        </w:tabs>
        <w:spacing w:before="93"/>
        <w:ind w:left="360" w:right="222"/>
        <w:rPr>
          <w:sz w:val="24"/>
        </w:rPr>
      </w:pPr>
      <w:r w:rsidRPr="00692513">
        <w:rPr>
          <w:sz w:val="24"/>
        </w:rPr>
        <w:t>WLWA Average composition detailed in Appendix 1.</w:t>
      </w:r>
    </w:p>
    <w:p w14:paraId="3F2883F8" w14:textId="77777777" w:rsidR="00184773" w:rsidRDefault="00184773" w:rsidP="00692513">
      <w:pPr>
        <w:tabs>
          <w:tab w:val="left" w:pos="507"/>
        </w:tabs>
        <w:spacing w:before="93"/>
        <w:ind w:left="360" w:right="222"/>
        <w:rPr>
          <w:b/>
          <w:bCs/>
          <w:sz w:val="24"/>
        </w:rPr>
      </w:pPr>
    </w:p>
    <w:p w14:paraId="16F886C2" w14:textId="0C84010A" w:rsidR="00692513" w:rsidRDefault="001F3A40" w:rsidP="00692513">
      <w:pPr>
        <w:tabs>
          <w:tab w:val="left" w:pos="507"/>
        </w:tabs>
        <w:spacing w:before="93"/>
        <w:ind w:left="360" w:right="222"/>
        <w:rPr>
          <w:b/>
          <w:bCs/>
          <w:sz w:val="24"/>
        </w:rPr>
      </w:pPr>
      <w:r w:rsidRPr="00692513">
        <w:rPr>
          <w:b/>
          <w:bCs/>
          <w:sz w:val="24"/>
        </w:rPr>
        <w:t>Food</w:t>
      </w:r>
      <w:r>
        <w:rPr>
          <w:b/>
          <w:bCs/>
          <w:sz w:val="24"/>
        </w:rPr>
        <w:t xml:space="preserve"> waste</w:t>
      </w:r>
      <w:r w:rsidRPr="00692513">
        <w:rPr>
          <w:b/>
          <w:bCs/>
          <w:sz w:val="24"/>
        </w:rPr>
        <w:t xml:space="preserve">, Green waste and </w:t>
      </w:r>
      <w:r>
        <w:rPr>
          <w:b/>
          <w:bCs/>
          <w:sz w:val="24"/>
        </w:rPr>
        <w:t>dry mixed recycling</w:t>
      </w:r>
      <w:r w:rsidR="00692513" w:rsidRPr="00692513">
        <w:rPr>
          <w:b/>
          <w:bCs/>
          <w:sz w:val="24"/>
        </w:rPr>
        <w:t xml:space="preserve"> in the residual </w:t>
      </w:r>
      <w:r>
        <w:rPr>
          <w:b/>
          <w:bCs/>
          <w:sz w:val="24"/>
        </w:rPr>
        <w:t>waste</w:t>
      </w:r>
    </w:p>
    <w:p w14:paraId="2A6A94C4" w14:textId="20E92D40" w:rsidR="00692513" w:rsidRDefault="00692513" w:rsidP="00692513">
      <w:pPr>
        <w:tabs>
          <w:tab w:val="left" w:pos="507"/>
        </w:tabs>
        <w:spacing w:before="93"/>
        <w:ind w:left="360" w:right="222"/>
        <w:rPr>
          <w:sz w:val="24"/>
        </w:rPr>
      </w:pPr>
      <w:r>
        <w:rPr>
          <w:sz w:val="24"/>
        </w:rPr>
        <w:t>The data from the waste composition analysis shows that c.60% of the waste collected in residual waste containers across the area have alternative household collections available through Food</w:t>
      </w:r>
      <w:r w:rsidR="0007406A">
        <w:rPr>
          <w:sz w:val="24"/>
        </w:rPr>
        <w:t xml:space="preserve"> waste</w:t>
      </w:r>
      <w:r>
        <w:rPr>
          <w:sz w:val="24"/>
        </w:rPr>
        <w:t>, Dry Mixed Recycling (DMR), Green waste and on demand textile/e-waste collection services.</w:t>
      </w:r>
    </w:p>
    <w:p w14:paraId="731497A1" w14:textId="479D26D7" w:rsidR="00033051" w:rsidRDefault="00033051" w:rsidP="00692513">
      <w:pPr>
        <w:tabs>
          <w:tab w:val="left" w:pos="507"/>
        </w:tabs>
        <w:spacing w:before="93"/>
        <w:ind w:left="360" w:right="222"/>
        <w:rPr>
          <w:sz w:val="24"/>
        </w:rPr>
      </w:pPr>
      <w:r>
        <w:rPr>
          <w:sz w:val="24"/>
        </w:rPr>
        <w:t>The Strategic Priorities for WLWA and the Boroughs as detailed in the Joint Municipal Waste Management Strategy section are supported by the data in the Waste composition.</w:t>
      </w:r>
    </w:p>
    <w:p w14:paraId="477276F6" w14:textId="06326B5A" w:rsidR="00033051" w:rsidRDefault="00033051" w:rsidP="00033051">
      <w:pPr>
        <w:pStyle w:val="ListParagraph"/>
        <w:numPr>
          <w:ilvl w:val="0"/>
          <w:numId w:val="28"/>
        </w:numPr>
        <w:tabs>
          <w:tab w:val="left" w:pos="507"/>
        </w:tabs>
        <w:spacing w:before="93"/>
        <w:ind w:right="222"/>
        <w:rPr>
          <w:sz w:val="24"/>
        </w:rPr>
      </w:pPr>
      <w:r>
        <w:rPr>
          <w:sz w:val="24"/>
        </w:rPr>
        <w:t>Food waste is still the greatest single volume stream in the residual waste and has an existing capture network. Given the difference in costs to treat the streams this supports a savings based approach to the food waste focus.</w:t>
      </w:r>
    </w:p>
    <w:p w14:paraId="44E0FEE9" w14:textId="612E3507" w:rsidR="00033051" w:rsidRDefault="00033051" w:rsidP="00033051">
      <w:pPr>
        <w:pStyle w:val="ListParagraph"/>
        <w:numPr>
          <w:ilvl w:val="0"/>
          <w:numId w:val="28"/>
        </w:numPr>
        <w:tabs>
          <w:tab w:val="left" w:pos="507"/>
        </w:tabs>
        <w:spacing w:before="93"/>
        <w:ind w:right="222"/>
        <w:rPr>
          <w:sz w:val="24"/>
        </w:rPr>
      </w:pPr>
      <w:r>
        <w:rPr>
          <w:sz w:val="24"/>
        </w:rPr>
        <w:t>Textile waste is still a significant contributor to the embodied carbon in our waste and supports the consumption reduction and increased capture approach in our priorities.</w:t>
      </w:r>
    </w:p>
    <w:p w14:paraId="758682D4" w14:textId="39C1EE02" w:rsidR="00033051" w:rsidRDefault="00033051" w:rsidP="00033051">
      <w:pPr>
        <w:pStyle w:val="ListParagraph"/>
        <w:numPr>
          <w:ilvl w:val="0"/>
          <w:numId w:val="28"/>
        </w:numPr>
        <w:tabs>
          <w:tab w:val="left" w:pos="507"/>
        </w:tabs>
        <w:spacing w:before="93"/>
        <w:ind w:right="222"/>
        <w:rPr>
          <w:sz w:val="24"/>
        </w:rPr>
      </w:pPr>
      <w:r>
        <w:rPr>
          <w:sz w:val="24"/>
        </w:rPr>
        <w:t>Plastic waste falls into both recyclable and the NRC (non-recyclable combustible). Given the high levels of fossil carbon in these materials along with textiles this supports the</w:t>
      </w:r>
      <w:r w:rsidR="007F1CBD">
        <w:rPr>
          <w:sz w:val="24"/>
        </w:rPr>
        <w:t xml:space="preserve"> risk based approach to managing the</w:t>
      </w:r>
      <w:r>
        <w:rPr>
          <w:sz w:val="24"/>
        </w:rPr>
        <w:t xml:space="preserve"> Emissions Trading Scheme</w:t>
      </w:r>
      <w:r w:rsidR="007F1CBD">
        <w:rPr>
          <w:sz w:val="24"/>
        </w:rPr>
        <w:t xml:space="preserve"> through action on these materials.</w:t>
      </w:r>
    </w:p>
    <w:p w14:paraId="778A9ABF" w14:textId="14A0098A" w:rsidR="007F1CBD" w:rsidRDefault="007F1CBD" w:rsidP="00033051">
      <w:pPr>
        <w:pStyle w:val="ListParagraph"/>
        <w:numPr>
          <w:ilvl w:val="0"/>
          <w:numId w:val="28"/>
        </w:numPr>
        <w:tabs>
          <w:tab w:val="left" w:pos="507"/>
        </w:tabs>
        <w:spacing w:before="93"/>
        <w:ind w:right="222"/>
        <w:rPr>
          <w:sz w:val="24"/>
        </w:rPr>
      </w:pPr>
      <w:r>
        <w:rPr>
          <w:sz w:val="24"/>
        </w:rPr>
        <w:t>E-waste</w:t>
      </w:r>
      <w:r w:rsidR="00FF0EDB">
        <w:rPr>
          <w:sz w:val="24"/>
        </w:rPr>
        <w:t>,</w:t>
      </w:r>
      <w:r>
        <w:rPr>
          <w:sz w:val="24"/>
        </w:rPr>
        <w:t xml:space="preserve"> whilst a smaller proportion on the waste </w:t>
      </w:r>
      <w:r w:rsidR="00FF0EDB">
        <w:rPr>
          <w:sz w:val="24"/>
        </w:rPr>
        <w:t>overall offers a significant opportunity for reuse and repair, helping deliver local social value, training and jobs.</w:t>
      </w:r>
    </w:p>
    <w:p w14:paraId="0AF81FCB" w14:textId="77777777" w:rsidR="003F0A18" w:rsidRDefault="003F0A18">
      <w:pPr>
        <w:rPr>
          <w:sz w:val="24"/>
        </w:rPr>
      </w:pPr>
      <w:r>
        <w:rPr>
          <w:sz w:val="24"/>
        </w:rPr>
        <w:br w:type="page"/>
      </w:r>
    </w:p>
    <w:p w14:paraId="766A7045" w14:textId="15842E7D" w:rsidR="003F0A18" w:rsidRPr="003F0A18" w:rsidRDefault="003F0A18" w:rsidP="003F0A18">
      <w:pPr>
        <w:tabs>
          <w:tab w:val="left" w:pos="507"/>
        </w:tabs>
        <w:spacing w:before="93"/>
        <w:ind w:left="360" w:right="222"/>
        <w:rPr>
          <w:sz w:val="24"/>
        </w:rPr>
      </w:pPr>
      <w:r w:rsidRPr="003F0A18">
        <w:rPr>
          <w:sz w:val="24"/>
        </w:rPr>
        <w:lastRenderedPageBreak/>
        <w:t xml:space="preserve">The graphs </w:t>
      </w:r>
      <w:r>
        <w:rPr>
          <w:sz w:val="24"/>
        </w:rPr>
        <w:t xml:space="preserve">below </w:t>
      </w:r>
      <w:r w:rsidRPr="003F0A18">
        <w:rPr>
          <w:sz w:val="24"/>
        </w:rPr>
        <w:t>indicate the efficacy of the services provided. This is a function of the public engagement with the service and the type/quality of service provided.  It is important to note that the waste comp is taken every 15 months to include seasonality over the long term.  Early results indicate that seasonality is a factor of all types of recycling but to different degrees.</w:t>
      </w:r>
    </w:p>
    <w:p w14:paraId="5C47CF9B" w14:textId="77777777" w:rsidR="003F0A18" w:rsidRPr="003F0A18" w:rsidRDefault="003F0A18" w:rsidP="003F0A18">
      <w:pPr>
        <w:tabs>
          <w:tab w:val="left" w:pos="507"/>
        </w:tabs>
        <w:spacing w:before="93"/>
        <w:ind w:left="360" w:right="222"/>
        <w:rPr>
          <w:sz w:val="24"/>
        </w:rPr>
      </w:pPr>
    </w:p>
    <w:p w14:paraId="5756863C" w14:textId="0DEA119D" w:rsidR="00692513" w:rsidRDefault="00692513" w:rsidP="00692513">
      <w:pPr>
        <w:pStyle w:val="paragraph"/>
        <w:spacing w:before="0" w:beforeAutospacing="0" w:after="0" w:afterAutospacing="0"/>
        <w:jc w:val="center"/>
        <w:textAlignment w:val="baseline"/>
        <w:rPr>
          <w:rFonts w:ascii="Segoe UI" w:hAnsi="Segoe UI" w:cs="Segoe UI"/>
          <w:sz w:val="18"/>
          <w:szCs w:val="18"/>
        </w:rPr>
      </w:pPr>
      <w:r>
        <w:rPr>
          <w:rStyle w:val="wacimagecontainer"/>
          <w:rFonts w:ascii="Segoe UI" w:hAnsi="Segoe UI" w:cs="Segoe UI"/>
          <w:noProof/>
          <w:sz w:val="18"/>
          <w:szCs w:val="18"/>
        </w:rPr>
        <w:drawing>
          <wp:inline distT="0" distB="0" distL="0" distR="0" wp14:anchorId="1F256389" wp14:editId="04DCC9B3">
            <wp:extent cx="2168406" cy="2544568"/>
            <wp:effectExtent l="0" t="0" r="3810" b="8255"/>
            <wp:docPr id="2081421748" name="Picture 6" descr="A graph of food in different colo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aph of food in different colors&#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107" cy="2570034"/>
                    </a:xfrm>
                    <a:prstGeom prst="rect">
                      <a:avLst/>
                    </a:prstGeom>
                    <a:noFill/>
                    <a:ln>
                      <a:noFill/>
                    </a:ln>
                  </pic:spPr>
                </pic:pic>
              </a:graphicData>
            </a:graphic>
          </wp:inline>
        </w:drawing>
      </w:r>
      <w:r>
        <w:rPr>
          <w:rStyle w:val="wacimagecontainer"/>
          <w:rFonts w:ascii="Segoe UI" w:hAnsi="Segoe UI" w:cs="Segoe UI"/>
          <w:noProof/>
          <w:sz w:val="18"/>
          <w:szCs w:val="18"/>
        </w:rPr>
        <w:drawing>
          <wp:inline distT="0" distB="0" distL="0" distR="0" wp14:anchorId="78683564" wp14:editId="7E4CEACC">
            <wp:extent cx="2391476" cy="2558955"/>
            <wp:effectExtent l="0" t="0" r="8890" b="0"/>
            <wp:docPr id="820693609" name="Picture 5" descr="A graph of a number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693609" name="Picture 5" descr="A graph of a number of peopl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1856" cy="2570062"/>
                    </a:xfrm>
                    <a:prstGeom prst="rect">
                      <a:avLst/>
                    </a:prstGeom>
                    <a:noFill/>
                    <a:ln>
                      <a:noFill/>
                    </a:ln>
                  </pic:spPr>
                </pic:pic>
              </a:graphicData>
            </a:graphic>
          </wp:inline>
        </w:drawing>
      </w:r>
      <w:r>
        <w:rPr>
          <w:rStyle w:val="wacimagecontainer"/>
          <w:rFonts w:ascii="Segoe UI" w:hAnsi="Segoe UI" w:cs="Segoe UI"/>
          <w:noProof/>
          <w:sz w:val="18"/>
          <w:szCs w:val="18"/>
        </w:rPr>
        <w:drawing>
          <wp:inline distT="0" distB="0" distL="0" distR="0" wp14:anchorId="50D52720" wp14:editId="09920394">
            <wp:extent cx="2265956" cy="2634103"/>
            <wp:effectExtent l="0" t="0" r="1270" b="0"/>
            <wp:docPr id="1012114629" name="Picture 4" descr="A graph with green and black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graph with green and black bars&#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0983" cy="2663196"/>
                    </a:xfrm>
                    <a:prstGeom prst="rect">
                      <a:avLst/>
                    </a:prstGeom>
                    <a:noFill/>
                    <a:ln>
                      <a:noFill/>
                    </a:ln>
                  </pic:spPr>
                </pic:pic>
              </a:graphicData>
            </a:graphic>
          </wp:inline>
        </w:drawing>
      </w:r>
      <w:r>
        <w:rPr>
          <w:rStyle w:val="normaltextrun"/>
          <w:rFonts w:ascii="Calibri" w:hAnsi="Calibri" w:cs="Calibri"/>
          <w:sz w:val="22"/>
          <w:szCs w:val="22"/>
        </w:rPr>
        <w:t> </w:t>
      </w:r>
      <w:r>
        <w:rPr>
          <w:rStyle w:val="eop"/>
          <w:rFonts w:ascii="Calibri" w:hAnsi="Calibri" w:cs="Calibri"/>
          <w:sz w:val="22"/>
          <w:szCs w:val="22"/>
        </w:rPr>
        <w:t> </w:t>
      </w:r>
    </w:p>
    <w:p w14:paraId="2D6889C2" w14:textId="275E0A1A" w:rsidR="00692513" w:rsidRDefault="00692513" w:rsidP="00692513">
      <w:pPr>
        <w:pStyle w:val="ListParagraph"/>
        <w:tabs>
          <w:tab w:val="left" w:pos="507"/>
        </w:tabs>
        <w:spacing w:before="121"/>
        <w:ind w:left="720" w:right="222" w:firstLine="0"/>
        <w:jc w:val="left"/>
        <w:rPr>
          <w:bCs/>
          <w:sz w:val="24"/>
          <w:szCs w:val="24"/>
        </w:rPr>
      </w:pPr>
      <w:r w:rsidRPr="00692513">
        <w:rPr>
          <w:bCs/>
          <w:sz w:val="24"/>
          <w:szCs w:val="24"/>
        </w:rPr>
        <w:t xml:space="preserve">WLWA </w:t>
      </w:r>
      <w:r w:rsidR="00184773">
        <w:rPr>
          <w:bCs/>
          <w:sz w:val="24"/>
          <w:szCs w:val="24"/>
        </w:rPr>
        <w:t>a</w:t>
      </w:r>
      <w:r w:rsidRPr="00692513">
        <w:rPr>
          <w:bCs/>
          <w:sz w:val="24"/>
          <w:szCs w:val="24"/>
        </w:rPr>
        <w:t xml:space="preserve">verage </w:t>
      </w:r>
      <w:r w:rsidR="00184773">
        <w:rPr>
          <w:bCs/>
          <w:sz w:val="24"/>
          <w:szCs w:val="24"/>
        </w:rPr>
        <w:t xml:space="preserve">residual </w:t>
      </w:r>
      <w:r w:rsidRPr="00692513">
        <w:rPr>
          <w:bCs/>
          <w:sz w:val="24"/>
          <w:szCs w:val="24"/>
        </w:rPr>
        <w:t xml:space="preserve">composition </w:t>
      </w:r>
      <w:r w:rsidR="00184773">
        <w:rPr>
          <w:bCs/>
          <w:sz w:val="24"/>
          <w:szCs w:val="24"/>
        </w:rPr>
        <w:t xml:space="preserve">is </w:t>
      </w:r>
      <w:r w:rsidRPr="00692513">
        <w:rPr>
          <w:bCs/>
          <w:sz w:val="24"/>
          <w:szCs w:val="24"/>
        </w:rPr>
        <w:t xml:space="preserve">detailed in </w:t>
      </w:r>
      <w:r w:rsidRPr="00692513">
        <w:rPr>
          <w:b/>
          <w:sz w:val="24"/>
          <w:szCs w:val="24"/>
        </w:rPr>
        <w:t>Appendix 1</w:t>
      </w:r>
      <w:r w:rsidRPr="00692513">
        <w:rPr>
          <w:bCs/>
          <w:sz w:val="24"/>
          <w:szCs w:val="24"/>
        </w:rPr>
        <w:t>.  </w:t>
      </w:r>
    </w:p>
    <w:p w14:paraId="6CD7EF07" w14:textId="71CFCE39" w:rsidR="003A7F62" w:rsidRDefault="003A7F62" w:rsidP="00692513">
      <w:pPr>
        <w:pStyle w:val="ListParagraph"/>
        <w:tabs>
          <w:tab w:val="left" w:pos="507"/>
        </w:tabs>
        <w:spacing w:before="121"/>
        <w:ind w:left="720" w:right="222" w:firstLine="0"/>
        <w:jc w:val="left"/>
        <w:rPr>
          <w:b/>
          <w:sz w:val="24"/>
          <w:szCs w:val="24"/>
        </w:rPr>
      </w:pPr>
      <w:r w:rsidRPr="003A7F62">
        <w:rPr>
          <w:b/>
          <w:sz w:val="24"/>
          <w:szCs w:val="24"/>
        </w:rPr>
        <w:t>Table 1</w:t>
      </w:r>
      <w:r w:rsidR="00FA7878">
        <w:rPr>
          <w:b/>
          <w:sz w:val="24"/>
          <w:szCs w:val="24"/>
        </w:rPr>
        <w:t xml:space="preserve"> – Capture rates and proportion of residual </w:t>
      </w:r>
    </w:p>
    <w:p w14:paraId="78349689" w14:textId="77777777" w:rsidR="00184773" w:rsidRPr="003A7F62" w:rsidRDefault="00184773" w:rsidP="00692513">
      <w:pPr>
        <w:pStyle w:val="ListParagraph"/>
        <w:tabs>
          <w:tab w:val="left" w:pos="507"/>
        </w:tabs>
        <w:spacing w:before="121"/>
        <w:ind w:left="720" w:right="222" w:firstLine="0"/>
        <w:jc w:val="left"/>
        <w:rPr>
          <w:b/>
          <w:sz w:val="24"/>
          <w:szCs w:val="24"/>
        </w:rPr>
      </w:pPr>
    </w:p>
    <w:tbl>
      <w:tblPr>
        <w:tblStyle w:val="TableGrid"/>
        <w:tblW w:w="9759" w:type="dxa"/>
        <w:jc w:val="center"/>
        <w:tblLook w:val="04A0" w:firstRow="1" w:lastRow="0" w:firstColumn="1" w:lastColumn="0" w:noHBand="0" w:noVBand="1"/>
      </w:tblPr>
      <w:tblGrid>
        <w:gridCol w:w="2689"/>
        <w:gridCol w:w="2268"/>
        <w:gridCol w:w="2693"/>
        <w:gridCol w:w="2109"/>
      </w:tblGrid>
      <w:tr w:rsidR="00586945" w14:paraId="00E31479" w14:textId="77777777" w:rsidTr="00586945">
        <w:trPr>
          <w:trHeight w:val="361"/>
          <w:jc w:val="center"/>
        </w:trPr>
        <w:tc>
          <w:tcPr>
            <w:tcW w:w="2689" w:type="dxa"/>
          </w:tcPr>
          <w:p w14:paraId="595A75D8" w14:textId="77777777" w:rsidR="003A7F62" w:rsidRDefault="003A7F62" w:rsidP="008346C5">
            <w:pPr>
              <w:pStyle w:val="ListParagraph"/>
              <w:tabs>
                <w:tab w:val="left" w:pos="507"/>
              </w:tabs>
              <w:spacing w:before="121"/>
              <w:ind w:left="0" w:right="222" w:firstLine="0"/>
              <w:jc w:val="left"/>
              <w:rPr>
                <w:bCs/>
                <w:sz w:val="24"/>
                <w:szCs w:val="24"/>
              </w:rPr>
            </w:pPr>
          </w:p>
        </w:tc>
        <w:tc>
          <w:tcPr>
            <w:tcW w:w="2268" w:type="dxa"/>
          </w:tcPr>
          <w:p w14:paraId="7E67D1E1" w14:textId="77777777" w:rsidR="003A7F62" w:rsidRDefault="003A7F62" w:rsidP="008346C5">
            <w:pPr>
              <w:pStyle w:val="ListParagraph"/>
              <w:tabs>
                <w:tab w:val="left" w:pos="507"/>
              </w:tabs>
              <w:spacing w:before="121"/>
              <w:ind w:left="0" w:right="222" w:firstLine="0"/>
              <w:jc w:val="left"/>
              <w:rPr>
                <w:bCs/>
                <w:sz w:val="24"/>
                <w:szCs w:val="24"/>
              </w:rPr>
            </w:pPr>
            <w:r>
              <w:rPr>
                <w:bCs/>
                <w:sz w:val="24"/>
                <w:szCs w:val="24"/>
              </w:rPr>
              <w:t>(%) of gross volume captured</w:t>
            </w:r>
          </w:p>
        </w:tc>
        <w:tc>
          <w:tcPr>
            <w:tcW w:w="2693" w:type="dxa"/>
          </w:tcPr>
          <w:p w14:paraId="6FEBB2F3" w14:textId="77777777" w:rsidR="003A7F62" w:rsidRDefault="003A7F62" w:rsidP="008346C5">
            <w:pPr>
              <w:pStyle w:val="ListParagraph"/>
              <w:tabs>
                <w:tab w:val="left" w:pos="507"/>
              </w:tabs>
              <w:spacing w:before="121"/>
              <w:ind w:left="0" w:right="222" w:firstLine="0"/>
              <w:jc w:val="left"/>
              <w:rPr>
                <w:bCs/>
                <w:sz w:val="24"/>
                <w:szCs w:val="24"/>
              </w:rPr>
            </w:pPr>
            <w:r>
              <w:rPr>
                <w:bCs/>
                <w:sz w:val="24"/>
                <w:szCs w:val="24"/>
              </w:rPr>
              <w:t>(%) of gross volume remaining in residual</w:t>
            </w:r>
          </w:p>
        </w:tc>
        <w:tc>
          <w:tcPr>
            <w:tcW w:w="2109" w:type="dxa"/>
          </w:tcPr>
          <w:p w14:paraId="403D0B30" w14:textId="77777777" w:rsidR="003A7F62" w:rsidRDefault="003A7F62" w:rsidP="008346C5">
            <w:pPr>
              <w:pStyle w:val="ListParagraph"/>
              <w:tabs>
                <w:tab w:val="left" w:pos="507"/>
              </w:tabs>
              <w:spacing w:before="121"/>
              <w:ind w:left="0" w:right="222" w:firstLine="0"/>
              <w:jc w:val="left"/>
              <w:rPr>
                <w:bCs/>
                <w:sz w:val="24"/>
                <w:szCs w:val="24"/>
              </w:rPr>
            </w:pPr>
            <w:r>
              <w:rPr>
                <w:bCs/>
                <w:sz w:val="24"/>
                <w:szCs w:val="24"/>
              </w:rPr>
              <w:t>(%) of residual</w:t>
            </w:r>
          </w:p>
        </w:tc>
      </w:tr>
      <w:tr w:rsidR="00586945" w14:paraId="03E5364C" w14:textId="77777777" w:rsidTr="00586945">
        <w:trPr>
          <w:trHeight w:val="342"/>
          <w:jc w:val="center"/>
        </w:trPr>
        <w:tc>
          <w:tcPr>
            <w:tcW w:w="2689" w:type="dxa"/>
          </w:tcPr>
          <w:p w14:paraId="229505E1" w14:textId="77777777" w:rsidR="003A7F62" w:rsidRDefault="003A7F62" w:rsidP="008346C5">
            <w:pPr>
              <w:pStyle w:val="ListParagraph"/>
              <w:tabs>
                <w:tab w:val="left" w:pos="507"/>
              </w:tabs>
              <w:spacing w:before="121"/>
              <w:ind w:left="0" w:right="222" w:firstLine="0"/>
              <w:jc w:val="left"/>
              <w:rPr>
                <w:bCs/>
                <w:sz w:val="24"/>
                <w:szCs w:val="24"/>
              </w:rPr>
            </w:pPr>
            <w:r>
              <w:rPr>
                <w:bCs/>
                <w:sz w:val="24"/>
                <w:szCs w:val="24"/>
              </w:rPr>
              <w:t>Food</w:t>
            </w:r>
          </w:p>
        </w:tc>
        <w:tc>
          <w:tcPr>
            <w:tcW w:w="2268" w:type="dxa"/>
          </w:tcPr>
          <w:p w14:paraId="4A0F4AC0" w14:textId="77777777" w:rsidR="003A7F62" w:rsidRDefault="003A7F62" w:rsidP="008346C5">
            <w:pPr>
              <w:pStyle w:val="ListParagraph"/>
              <w:tabs>
                <w:tab w:val="left" w:pos="507"/>
              </w:tabs>
              <w:spacing w:before="121"/>
              <w:ind w:left="0" w:right="222" w:firstLine="0"/>
              <w:jc w:val="left"/>
              <w:rPr>
                <w:bCs/>
                <w:sz w:val="24"/>
                <w:szCs w:val="24"/>
              </w:rPr>
            </w:pPr>
            <w:r>
              <w:rPr>
                <w:bCs/>
                <w:sz w:val="24"/>
                <w:szCs w:val="24"/>
              </w:rPr>
              <w:t>22%</w:t>
            </w:r>
          </w:p>
        </w:tc>
        <w:tc>
          <w:tcPr>
            <w:tcW w:w="2693" w:type="dxa"/>
          </w:tcPr>
          <w:p w14:paraId="47B38E10" w14:textId="77777777" w:rsidR="003A7F62" w:rsidRDefault="003A7F62" w:rsidP="008346C5">
            <w:pPr>
              <w:pStyle w:val="ListParagraph"/>
              <w:tabs>
                <w:tab w:val="left" w:pos="507"/>
              </w:tabs>
              <w:spacing w:before="121"/>
              <w:ind w:left="0" w:right="222" w:firstLine="0"/>
              <w:jc w:val="left"/>
              <w:rPr>
                <w:bCs/>
                <w:sz w:val="24"/>
                <w:szCs w:val="24"/>
              </w:rPr>
            </w:pPr>
            <w:r>
              <w:rPr>
                <w:bCs/>
                <w:sz w:val="24"/>
                <w:szCs w:val="24"/>
              </w:rPr>
              <w:t>78%</w:t>
            </w:r>
          </w:p>
        </w:tc>
        <w:tc>
          <w:tcPr>
            <w:tcW w:w="2109" w:type="dxa"/>
          </w:tcPr>
          <w:p w14:paraId="4E5DE9F5" w14:textId="77777777" w:rsidR="003A7F62" w:rsidRDefault="003A7F62" w:rsidP="008346C5">
            <w:pPr>
              <w:pStyle w:val="ListParagraph"/>
              <w:tabs>
                <w:tab w:val="left" w:pos="507"/>
              </w:tabs>
              <w:spacing w:before="121"/>
              <w:ind w:left="0" w:right="222" w:firstLine="0"/>
              <w:jc w:val="left"/>
              <w:rPr>
                <w:bCs/>
                <w:sz w:val="24"/>
                <w:szCs w:val="24"/>
              </w:rPr>
            </w:pPr>
            <w:r>
              <w:rPr>
                <w:bCs/>
                <w:sz w:val="24"/>
                <w:szCs w:val="24"/>
              </w:rPr>
              <w:t>35%</w:t>
            </w:r>
          </w:p>
        </w:tc>
      </w:tr>
      <w:tr w:rsidR="00586945" w14:paraId="6F4EFF69" w14:textId="77777777" w:rsidTr="00586945">
        <w:trPr>
          <w:trHeight w:val="403"/>
          <w:jc w:val="center"/>
        </w:trPr>
        <w:tc>
          <w:tcPr>
            <w:tcW w:w="2689" w:type="dxa"/>
          </w:tcPr>
          <w:p w14:paraId="0B60B05E" w14:textId="77777777" w:rsidR="003A7F62" w:rsidRDefault="003A7F62" w:rsidP="008346C5">
            <w:pPr>
              <w:pStyle w:val="ListParagraph"/>
              <w:tabs>
                <w:tab w:val="left" w:pos="507"/>
              </w:tabs>
              <w:spacing w:before="121"/>
              <w:ind w:left="0" w:right="222" w:firstLine="0"/>
              <w:jc w:val="left"/>
              <w:rPr>
                <w:bCs/>
                <w:sz w:val="24"/>
                <w:szCs w:val="24"/>
              </w:rPr>
            </w:pPr>
            <w:r>
              <w:rPr>
                <w:bCs/>
                <w:sz w:val="24"/>
                <w:szCs w:val="24"/>
              </w:rPr>
              <w:t>Dry Mixed Recycling</w:t>
            </w:r>
          </w:p>
        </w:tc>
        <w:tc>
          <w:tcPr>
            <w:tcW w:w="2268" w:type="dxa"/>
          </w:tcPr>
          <w:p w14:paraId="175AC6D0" w14:textId="77777777" w:rsidR="003A7F62" w:rsidRDefault="003A7F62" w:rsidP="008346C5">
            <w:pPr>
              <w:pStyle w:val="ListParagraph"/>
              <w:tabs>
                <w:tab w:val="left" w:pos="507"/>
              </w:tabs>
              <w:spacing w:before="121"/>
              <w:ind w:left="0" w:right="222" w:firstLine="0"/>
              <w:jc w:val="left"/>
              <w:rPr>
                <w:bCs/>
                <w:sz w:val="24"/>
                <w:szCs w:val="24"/>
              </w:rPr>
            </w:pPr>
            <w:r>
              <w:rPr>
                <w:bCs/>
                <w:sz w:val="24"/>
                <w:szCs w:val="24"/>
              </w:rPr>
              <w:t>70%</w:t>
            </w:r>
          </w:p>
        </w:tc>
        <w:tc>
          <w:tcPr>
            <w:tcW w:w="2693" w:type="dxa"/>
          </w:tcPr>
          <w:p w14:paraId="1089EA0A" w14:textId="77777777" w:rsidR="003A7F62" w:rsidRDefault="003A7F62" w:rsidP="008346C5">
            <w:pPr>
              <w:pStyle w:val="ListParagraph"/>
              <w:tabs>
                <w:tab w:val="left" w:pos="507"/>
              </w:tabs>
              <w:spacing w:before="121"/>
              <w:ind w:left="0" w:right="222" w:firstLine="0"/>
              <w:jc w:val="left"/>
              <w:rPr>
                <w:bCs/>
                <w:sz w:val="24"/>
                <w:szCs w:val="24"/>
              </w:rPr>
            </w:pPr>
            <w:r>
              <w:rPr>
                <w:bCs/>
                <w:sz w:val="24"/>
                <w:szCs w:val="24"/>
              </w:rPr>
              <w:t>30%</w:t>
            </w:r>
          </w:p>
        </w:tc>
        <w:tc>
          <w:tcPr>
            <w:tcW w:w="2109" w:type="dxa"/>
          </w:tcPr>
          <w:p w14:paraId="15E43842" w14:textId="77777777" w:rsidR="003A7F62" w:rsidRDefault="003A7F62" w:rsidP="008346C5">
            <w:pPr>
              <w:pStyle w:val="ListParagraph"/>
              <w:tabs>
                <w:tab w:val="left" w:pos="507"/>
              </w:tabs>
              <w:spacing w:before="121"/>
              <w:ind w:left="0" w:right="222" w:firstLine="0"/>
              <w:jc w:val="left"/>
              <w:rPr>
                <w:bCs/>
                <w:sz w:val="24"/>
                <w:szCs w:val="24"/>
              </w:rPr>
            </w:pPr>
            <w:r>
              <w:rPr>
                <w:bCs/>
                <w:sz w:val="24"/>
                <w:szCs w:val="24"/>
              </w:rPr>
              <w:t>16%</w:t>
            </w:r>
          </w:p>
        </w:tc>
      </w:tr>
      <w:tr w:rsidR="00586945" w14:paraId="5682CEAB" w14:textId="77777777" w:rsidTr="00586945">
        <w:trPr>
          <w:trHeight w:val="329"/>
          <w:jc w:val="center"/>
        </w:trPr>
        <w:tc>
          <w:tcPr>
            <w:tcW w:w="2689" w:type="dxa"/>
          </w:tcPr>
          <w:p w14:paraId="44A94B44" w14:textId="77777777" w:rsidR="003A7F62" w:rsidRDefault="003A7F62" w:rsidP="008346C5">
            <w:pPr>
              <w:pStyle w:val="ListParagraph"/>
              <w:tabs>
                <w:tab w:val="left" w:pos="507"/>
              </w:tabs>
              <w:spacing w:before="121"/>
              <w:ind w:left="0" w:right="222" w:firstLine="0"/>
              <w:jc w:val="left"/>
              <w:rPr>
                <w:bCs/>
                <w:sz w:val="24"/>
                <w:szCs w:val="24"/>
              </w:rPr>
            </w:pPr>
            <w:r>
              <w:rPr>
                <w:bCs/>
                <w:sz w:val="24"/>
                <w:szCs w:val="24"/>
              </w:rPr>
              <w:t xml:space="preserve">Garden </w:t>
            </w:r>
          </w:p>
        </w:tc>
        <w:tc>
          <w:tcPr>
            <w:tcW w:w="2268" w:type="dxa"/>
          </w:tcPr>
          <w:p w14:paraId="2DB94DBD" w14:textId="77777777" w:rsidR="003A7F62" w:rsidRDefault="003A7F62" w:rsidP="008346C5">
            <w:pPr>
              <w:pStyle w:val="ListParagraph"/>
              <w:tabs>
                <w:tab w:val="left" w:pos="507"/>
              </w:tabs>
              <w:spacing w:before="121"/>
              <w:ind w:left="0" w:right="222" w:firstLine="0"/>
              <w:jc w:val="left"/>
              <w:rPr>
                <w:bCs/>
                <w:sz w:val="24"/>
                <w:szCs w:val="24"/>
              </w:rPr>
            </w:pPr>
            <w:r>
              <w:rPr>
                <w:bCs/>
                <w:sz w:val="24"/>
                <w:szCs w:val="24"/>
              </w:rPr>
              <w:t>82%</w:t>
            </w:r>
          </w:p>
        </w:tc>
        <w:tc>
          <w:tcPr>
            <w:tcW w:w="2693" w:type="dxa"/>
          </w:tcPr>
          <w:p w14:paraId="38E823ED" w14:textId="77777777" w:rsidR="003A7F62" w:rsidRDefault="003A7F62" w:rsidP="008346C5">
            <w:pPr>
              <w:pStyle w:val="ListParagraph"/>
              <w:tabs>
                <w:tab w:val="left" w:pos="507"/>
              </w:tabs>
              <w:spacing w:before="121"/>
              <w:ind w:left="0" w:right="222" w:firstLine="0"/>
              <w:jc w:val="left"/>
              <w:rPr>
                <w:bCs/>
                <w:sz w:val="24"/>
                <w:szCs w:val="24"/>
              </w:rPr>
            </w:pPr>
            <w:r>
              <w:rPr>
                <w:bCs/>
                <w:sz w:val="24"/>
                <w:szCs w:val="24"/>
              </w:rPr>
              <w:t>18%</w:t>
            </w:r>
          </w:p>
        </w:tc>
        <w:tc>
          <w:tcPr>
            <w:tcW w:w="2109" w:type="dxa"/>
          </w:tcPr>
          <w:p w14:paraId="3CB713E3" w14:textId="77777777" w:rsidR="003A7F62" w:rsidRDefault="003A7F62" w:rsidP="008346C5">
            <w:pPr>
              <w:pStyle w:val="ListParagraph"/>
              <w:tabs>
                <w:tab w:val="left" w:pos="507"/>
              </w:tabs>
              <w:spacing w:before="121"/>
              <w:ind w:left="0" w:right="222" w:firstLine="0"/>
              <w:jc w:val="left"/>
              <w:rPr>
                <w:bCs/>
                <w:sz w:val="24"/>
                <w:szCs w:val="24"/>
              </w:rPr>
            </w:pPr>
            <w:r>
              <w:rPr>
                <w:bCs/>
                <w:sz w:val="24"/>
                <w:szCs w:val="24"/>
              </w:rPr>
              <w:t>3%</w:t>
            </w:r>
          </w:p>
        </w:tc>
      </w:tr>
    </w:tbl>
    <w:p w14:paraId="517152FA" w14:textId="5E0E45F6" w:rsidR="00550F1E" w:rsidRPr="003A7F62" w:rsidRDefault="00692513" w:rsidP="003A7F62">
      <w:pPr>
        <w:ind w:left="709"/>
        <w:rPr>
          <w:bCs/>
          <w:sz w:val="24"/>
          <w:szCs w:val="24"/>
        </w:rPr>
      </w:pPr>
      <w:r w:rsidRPr="00692513">
        <w:rPr>
          <w:b/>
          <w:bCs/>
          <w:sz w:val="24"/>
          <w:szCs w:val="24"/>
        </w:rPr>
        <w:t>Food waste</w:t>
      </w:r>
      <w:r w:rsidRPr="00692513">
        <w:rPr>
          <w:sz w:val="24"/>
          <w:szCs w:val="24"/>
        </w:rPr>
        <w:t xml:space="preserve"> </w:t>
      </w:r>
      <w:r w:rsidRPr="00692513">
        <w:rPr>
          <w:bCs/>
          <w:sz w:val="24"/>
          <w:szCs w:val="24"/>
        </w:rPr>
        <w:t>–</w:t>
      </w:r>
      <w:r>
        <w:rPr>
          <w:bCs/>
          <w:sz w:val="24"/>
          <w:szCs w:val="24"/>
        </w:rPr>
        <w:t xml:space="preserve"> </w:t>
      </w:r>
      <w:r w:rsidRPr="00692513">
        <w:rPr>
          <w:bCs/>
          <w:sz w:val="24"/>
          <w:szCs w:val="24"/>
        </w:rPr>
        <w:t>Total food waste has increased 7% compared to previous composition analysis results, and the capture rate has dropped. </w:t>
      </w:r>
    </w:p>
    <w:p w14:paraId="6F05C0C2" w14:textId="2A08449B" w:rsidR="00692513" w:rsidRPr="00692513" w:rsidRDefault="00692513" w:rsidP="00692513">
      <w:pPr>
        <w:pStyle w:val="ListParagraph"/>
        <w:tabs>
          <w:tab w:val="left" w:pos="507"/>
        </w:tabs>
        <w:spacing w:before="121"/>
        <w:ind w:left="720" w:right="222" w:firstLine="0"/>
        <w:jc w:val="left"/>
        <w:rPr>
          <w:bCs/>
          <w:sz w:val="24"/>
          <w:szCs w:val="24"/>
        </w:rPr>
      </w:pPr>
      <w:r w:rsidRPr="00692513">
        <w:rPr>
          <w:b/>
          <w:bCs/>
          <w:sz w:val="24"/>
          <w:szCs w:val="24"/>
        </w:rPr>
        <w:t>Garden Waste</w:t>
      </w:r>
      <w:r w:rsidRPr="00692513">
        <w:rPr>
          <w:sz w:val="24"/>
          <w:szCs w:val="24"/>
        </w:rPr>
        <w:t xml:space="preserve"> –</w:t>
      </w:r>
      <w:r w:rsidRPr="00692513">
        <w:rPr>
          <w:bCs/>
          <w:sz w:val="24"/>
          <w:szCs w:val="24"/>
        </w:rPr>
        <w:t xml:space="preserve"> </w:t>
      </w:r>
      <w:r>
        <w:rPr>
          <w:bCs/>
          <w:sz w:val="24"/>
          <w:szCs w:val="24"/>
        </w:rPr>
        <w:t>is highly seasonal in the effects on the waste composition, with this analysis completed in winter therefore trends are harder to identify.</w:t>
      </w:r>
      <w:r w:rsidRPr="00692513">
        <w:rPr>
          <w:bCs/>
          <w:sz w:val="24"/>
          <w:szCs w:val="24"/>
        </w:rPr>
        <w:t xml:space="preserve"> </w:t>
      </w:r>
    </w:p>
    <w:p w14:paraId="4AC0CDBC" w14:textId="77777777" w:rsidR="00692513" w:rsidRPr="00692513" w:rsidRDefault="00692513" w:rsidP="00692513">
      <w:pPr>
        <w:pStyle w:val="ListParagraph"/>
        <w:tabs>
          <w:tab w:val="left" w:pos="507"/>
        </w:tabs>
        <w:spacing w:before="121"/>
        <w:ind w:left="720" w:right="222" w:firstLine="0"/>
        <w:jc w:val="left"/>
        <w:rPr>
          <w:b/>
          <w:sz w:val="24"/>
          <w:szCs w:val="24"/>
        </w:rPr>
      </w:pPr>
      <w:r w:rsidRPr="00692513">
        <w:rPr>
          <w:bCs/>
          <w:sz w:val="24"/>
          <w:szCs w:val="24"/>
        </w:rPr>
        <w:t xml:space="preserve">Borough specific performance on capture and yield can be seen in </w:t>
      </w:r>
      <w:r w:rsidRPr="00692513">
        <w:rPr>
          <w:b/>
          <w:sz w:val="24"/>
          <w:szCs w:val="24"/>
        </w:rPr>
        <w:t>Appendix 2, 3 and 4. </w:t>
      </w:r>
    </w:p>
    <w:p w14:paraId="61A1777E" w14:textId="5EACB3FF" w:rsidR="00692513" w:rsidRPr="00692513" w:rsidRDefault="00692513" w:rsidP="00692513">
      <w:pPr>
        <w:pStyle w:val="ListParagraph"/>
        <w:tabs>
          <w:tab w:val="left" w:pos="507"/>
        </w:tabs>
        <w:spacing w:before="121"/>
        <w:ind w:left="720" w:right="222" w:firstLine="0"/>
        <w:jc w:val="left"/>
        <w:rPr>
          <w:bCs/>
          <w:sz w:val="24"/>
          <w:szCs w:val="24"/>
        </w:rPr>
      </w:pPr>
      <w:r w:rsidRPr="00692513">
        <w:rPr>
          <w:b/>
          <w:bCs/>
          <w:sz w:val="24"/>
          <w:szCs w:val="24"/>
        </w:rPr>
        <w:t xml:space="preserve">WEEE </w:t>
      </w:r>
      <w:r w:rsidRPr="00692513">
        <w:rPr>
          <w:sz w:val="24"/>
          <w:szCs w:val="24"/>
        </w:rPr>
        <w:t xml:space="preserve">– </w:t>
      </w:r>
      <w:r w:rsidRPr="00692513">
        <w:rPr>
          <w:bCs/>
          <w:sz w:val="24"/>
          <w:szCs w:val="24"/>
        </w:rPr>
        <w:t>The composition analysis shows the continuing trend for waste electricals (1%</w:t>
      </w:r>
      <w:r>
        <w:rPr>
          <w:bCs/>
          <w:sz w:val="24"/>
          <w:szCs w:val="24"/>
        </w:rPr>
        <w:t>, c.</w:t>
      </w:r>
      <w:r w:rsidRPr="00692513">
        <w:rPr>
          <w:bCs/>
          <w:sz w:val="24"/>
          <w:szCs w:val="24"/>
        </w:rPr>
        <w:t xml:space="preserve">3,500 tonnes) </w:t>
      </w:r>
      <w:r>
        <w:rPr>
          <w:bCs/>
          <w:sz w:val="24"/>
          <w:szCs w:val="24"/>
        </w:rPr>
        <w:t>are</w:t>
      </w:r>
      <w:r w:rsidRPr="00692513">
        <w:rPr>
          <w:bCs/>
          <w:sz w:val="24"/>
          <w:szCs w:val="24"/>
        </w:rPr>
        <w:t xml:space="preserve"> be</w:t>
      </w:r>
      <w:r>
        <w:rPr>
          <w:bCs/>
          <w:sz w:val="24"/>
          <w:szCs w:val="24"/>
        </w:rPr>
        <w:t>ing</w:t>
      </w:r>
      <w:r w:rsidRPr="00692513">
        <w:rPr>
          <w:bCs/>
          <w:sz w:val="24"/>
          <w:szCs w:val="24"/>
        </w:rPr>
        <w:t xml:space="preserve"> disposed of in the residual waste. This poses a </w:t>
      </w:r>
      <w:r>
        <w:rPr>
          <w:bCs/>
          <w:sz w:val="24"/>
          <w:szCs w:val="24"/>
        </w:rPr>
        <w:t xml:space="preserve">significant </w:t>
      </w:r>
      <w:r w:rsidRPr="00692513">
        <w:rPr>
          <w:bCs/>
          <w:sz w:val="24"/>
          <w:szCs w:val="24"/>
        </w:rPr>
        <w:t>risk to Borough and WLWA operations through fires caused by batteries and capacitors in waste electricals. </w:t>
      </w:r>
    </w:p>
    <w:p w14:paraId="24EB5DD7" w14:textId="77777777" w:rsidR="00FA7878" w:rsidRDefault="00FA7878">
      <w:pPr>
        <w:rPr>
          <w:b/>
          <w:bCs/>
          <w:sz w:val="24"/>
        </w:rPr>
      </w:pPr>
      <w:r>
        <w:rPr>
          <w:b/>
          <w:bCs/>
          <w:sz w:val="24"/>
        </w:rPr>
        <w:br w:type="page"/>
      </w:r>
    </w:p>
    <w:p w14:paraId="0A720095" w14:textId="7BA5DBBA" w:rsidR="00692513" w:rsidRPr="00692513" w:rsidRDefault="00692513" w:rsidP="00692513">
      <w:pPr>
        <w:pStyle w:val="ListParagraph"/>
        <w:numPr>
          <w:ilvl w:val="0"/>
          <w:numId w:val="4"/>
        </w:numPr>
        <w:tabs>
          <w:tab w:val="left" w:pos="507"/>
        </w:tabs>
        <w:spacing w:before="93"/>
        <w:ind w:left="709" w:right="222"/>
        <w:rPr>
          <w:b/>
          <w:bCs/>
          <w:sz w:val="24"/>
        </w:rPr>
      </w:pPr>
      <w:r w:rsidRPr="00692513">
        <w:rPr>
          <w:b/>
          <w:bCs/>
          <w:sz w:val="24"/>
        </w:rPr>
        <w:lastRenderedPageBreak/>
        <w:t xml:space="preserve">Future system </w:t>
      </w:r>
      <w:r>
        <w:rPr>
          <w:b/>
          <w:bCs/>
          <w:sz w:val="24"/>
        </w:rPr>
        <w:t>impacts</w:t>
      </w:r>
      <w:r w:rsidRPr="00692513">
        <w:rPr>
          <w:b/>
          <w:bCs/>
          <w:sz w:val="24"/>
        </w:rPr>
        <w:t>: E</w:t>
      </w:r>
      <w:r w:rsidR="00695899">
        <w:rPr>
          <w:b/>
          <w:bCs/>
          <w:sz w:val="24"/>
        </w:rPr>
        <w:t xml:space="preserve">xtended </w:t>
      </w:r>
      <w:r w:rsidRPr="00692513">
        <w:rPr>
          <w:b/>
          <w:bCs/>
          <w:sz w:val="24"/>
        </w:rPr>
        <w:t>P</w:t>
      </w:r>
      <w:r w:rsidR="00695899">
        <w:rPr>
          <w:b/>
          <w:bCs/>
          <w:sz w:val="24"/>
        </w:rPr>
        <w:t xml:space="preserve">roducer </w:t>
      </w:r>
      <w:r w:rsidRPr="00692513">
        <w:rPr>
          <w:b/>
          <w:bCs/>
          <w:sz w:val="24"/>
        </w:rPr>
        <w:t>R</w:t>
      </w:r>
      <w:r w:rsidR="00695899">
        <w:rPr>
          <w:b/>
          <w:bCs/>
          <w:sz w:val="24"/>
        </w:rPr>
        <w:t>esponsibility</w:t>
      </w:r>
      <w:r w:rsidRPr="00692513">
        <w:rPr>
          <w:b/>
          <w:bCs/>
          <w:sz w:val="24"/>
        </w:rPr>
        <w:t xml:space="preserve"> and D</w:t>
      </w:r>
      <w:r w:rsidR="00695899">
        <w:rPr>
          <w:b/>
          <w:bCs/>
          <w:sz w:val="24"/>
        </w:rPr>
        <w:t xml:space="preserve">eposit </w:t>
      </w:r>
      <w:r w:rsidRPr="00692513">
        <w:rPr>
          <w:b/>
          <w:bCs/>
          <w:sz w:val="24"/>
        </w:rPr>
        <w:t>R</w:t>
      </w:r>
      <w:r w:rsidR="00695899">
        <w:rPr>
          <w:b/>
          <w:bCs/>
          <w:sz w:val="24"/>
        </w:rPr>
        <w:t xml:space="preserve">eturn </w:t>
      </w:r>
      <w:r w:rsidRPr="00692513">
        <w:rPr>
          <w:b/>
          <w:bCs/>
          <w:sz w:val="24"/>
        </w:rPr>
        <w:t>S</w:t>
      </w:r>
      <w:r w:rsidR="00695899">
        <w:rPr>
          <w:b/>
          <w:bCs/>
          <w:sz w:val="24"/>
        </w:rPr>
        <w:t>cheme</w:t>
      </w:r>
      <w:r w:rsidRPr="00692513">
        <w:rPr>
          <w:b/>
          <w:bCs/>
          <w:sz w:val="24"/>
        </w:rPr>
        <w:t xml:space="preserve"> systems </w:t>
      </w:r>
    </w:p>
    <w:p w14:paraId="528D0581" w14:textId="3E94621C" w:rsidR="00692513" w:rsidRDefault="00692513" w:rsidP="00692513">
      <w:pPr>
        <w:pStyle w:val="paragraph"/>
        <w:spacing w:before="0" w:beforeAutospacing="0" w:after="0" w:afterAutospacing="0"/>
        <w:jc w:val="center"/>
        <w:textAlignment w:val="baseline"/>
        <w:rPr>
          <w:rFonts w:ascii="Segoe UI" w:hAnsi="Segoe UI" w:cs="Segoe UI"/>
          <w:sz w:val="18"/>
          <w:szCs w:val="18"/>
        </w:rPr>
      </w:pPr>
      <w:r>
        <w:rPr>
          <w:rStyle w:val="wacimagecontainer"/>
          <w:rFonts w:ascii="Segoe UI" w:hAnsi="Segoe UI" w:cs="Segoe UI"/>
          <w:noProof/>
          <w:sz w:val="18"/>
          <w:szCs w:val="18"/>
        </w:rPr>
        <w:drawing>
          <wp:inline distT="0" distB="0" distL="0" distR="0" wp14:anchorId="1C4AE2C0" wp14:editId="1CA946EF">
            <wp:extent cx="2983888" cy="3590925"/>
            <wp:effectExtent l="0" t="0" r="6985" b="0"/>
            <wp:docPr id="883000619" name="Picture 3" descr="A graph of a graph with numbers and a yellow and grey 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graph of a graph with numbers and a yellow and grey rectangle&#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2553" cy="3649491"/>
                    </a:xfrm>
                    <a:prstGeom prst="rect">
                      <a:avLst/>
                    </a:prstGeom>
                    <a:noFill/>
                    <a:ln>
                      <a:noFill/>
                    </a:ln>
                  </pic:spPr>
                </pic:pic>
              </a:graphicData>
            </a:graphic>
          </wp:inline>
        </w:drawing>
      </w:r>
      <w:r>
        <w:rPr>
          <w:rStyle w:val="eop"/>
          <w:rFonts w:ascii="Calibri" w:hAnsi="Calibri" w:cs="Calibri"/>
        </w:rPr>
        <w:t> </w:t>
      </w:r>
    </w:p>
    <w:p w14:paraId="07191A9B" w14:textId="22823826" w:rsidR="00692513" w:rsidRPr="00692513" w:rsidRDefault="00692513" w:rsidP="00692513">
      <w:pPr>
        <w:pStyle w:val="ListParagraph"/>
        <w:tabs>
          <w:tab w:val="left" w:pos="507"/>
        </w:tabs>
        <w:spacing w:before="121"/>
        <w:ind w:left="720" w:right="222" w:firstLine="0"/>
        <w:jc w:val="left"/>
        <w:rPr>
          <w:bCs/>
          <w:sz w:val="24"/>
          <w:szCs w:val="24"/>
        </w:rPr>
      </w:pPr>
      <w:r w:rsidRPr="00692513">
        <w:rPr>
          <w:sz w:val="24"/>
          <w:szCs w:val="24"/>
        </w:rPr>
        <w:t>The overall proportions</w:t>
      </w:r>
      <w:r w:rsidRPr="00692513">
        <w:rPr>
          <w:bCs/>
          <w:sz w:val="24"/>
          <w:szCs w:val="24"/>
        </w:rPr>
        <w:t xml:space="preserve"> of the waste composition show that on average c. 25% of material disposed in residual is in scope of EPR and DRS systems for the past three financial years. </w:t>
      </w:r>
    </w:p>
    <w:p w14:paraId="573BCA3E" w14:textId="77777777" w:rsidR="00695899" w:rsidRDefault="00695899" w:rsidP="00695899">
      <w:pPr>
        <w:pStyle w:val="ListParagraph"/>
        <w:tabs>
          <w:tab w:val="left" w:pos="507"/>
        </w:tabs>
        <w:spacing w:before="121"/>
        <w:ind w:left="720" w:right="222" w:firstLine="0"/>
        <w:jc w:val="left"/>
        <w:rPr>
          <w:bCs/>
          <w:sz w:val="24"/>
          <w:szCs w:val="24"/>
        </w:rPr>
      </w:pPr>
      <w:r>
        <w:rPr>
          <w:bCs/>
          <w:sz w:val="24"/>
          <w:szCs w:val="24"/>
        </w:rPr>
        <w:t>This material will be targeted by producers as leakage material from collections system and therefore most likely to change in the design, materials used and customer recycling information provided</w:t>
      </w:r>
      <w:r w:rsidR="00692513" w:rsidRPr="00692513">
        <w:rPr>
          <w:bCs/>
          <w:sz w:val="24"/>
          <w:szCs w:val="24"/>
        </w:rPr>
        <w:t>.</w:t>
      </w:r>
    </w:p>
    <w:p w14:paraId="000D127B" w14:textId="73865281" w:rsidR="00FA7878" w:rsidRPr="00184773" w:rsidRDefault="00695899" w:rsidP="00184773">
      <w:pPr>
        <w:pStyle w:val="ListParagraph"/>
        <w:tabs>
          <w:tab w:val="left" w:pos="507"/>
        </w:tabs>
        <w:spacing w:before="121"/>
        <w:ind w:left="720" w:right="222" w:firstLine="0"/>
        <w:jc w:val="left"/>
        <w:rPr>
          <w:bCs/>
          <w:sz w:val="24"/>
          <w:szCs w:val="24"/>
        </w:rPr>
      </w:pPr>
      <w:r>
        <w:rPr>
          <w:bCs/>
          <w:sz w:val="24"/>
          <w:szCs w:val="24"/>
        </w:rPr>
        <w:t>WLWA and the Boroughs have an opportunity to invest the income generated from the EPR payments to help improve infrastructure and services.</w:t>
      </w:r>
    </w:p>
    <w:p w14:paraId="46A41FF0" w14:textId="36024570" w:rsidR="00692513" w:rsidRDefault="00692513" w:rsidP="00695899">
      <w:pPr>
        <w:pStyle w:val="ListParagraph"/>
        <w:numPr>
          <w:ilvl w:val="0"/>
          <w:numId w:val="4"/>
        </w:numPr>
        <w:tabs>
          <w:tab w:val="left" w:pos="507"/>
        </w:tabs>
        <w:spacing w:before="93"/>
        <w:ind w:right="222"/>
        <w:rPr>
          <w:b/>
          <w:bCs/>
          <w:sz w:val="24"/>
        </w:rPr>
      </w:pPr>
      <w:r w:rsidRPr="00695899">
        <w:rPr>
          <w:b/>
          <w:bCs/>
          <w:sz w:val="24"/>
        </w:rPr>
        <w:t xml:space="preserve">Embedded Carbon </w:t>
      </w:r>
    </w:p>
    <w:p w14:paraId="368CE13E" w14:textId="462257C0" w:rsidR="00695899" w:rsidRDefault="00695899" w:rsidP="00695899">
      <w:pPr>
        <w:pStyle w:val="ListParagraph"/>
        <w:tabs>
          <w:tab w:val="left" w:pos="507"/>
        </w:tabs>
        <w:spacing w:before="121"/>
        <w:ind w:left="720" w:right="222" w:firstLine="0"/>
        <w:jc w:val="left"/>
        <w:rPr>
          <w:sz w:val="24"/>
        </w:rPr>
      </w:pPr>
      <w:r w:rsidRPr="00695899">
        <w:rPr>
          <w:sz w:val="24"/>
        </w:rPr>
        <w:t xml:space="preserve">The </w:t>
      </w:r>
      <w:r>
        <w:rPr>
          <w:sz w:val="24"/>
        </w:rPr>
        <w:t xml:space="preserve">different materials in waste have been historically measured on a tonnage (mass) basis. This approach doesn’t factor in the variability of the embodied carbon within the different materials, for example a tonne of textiles has a Carbon equivalent of </w:t>
      </w:r>
      <w:r w:rsidR="00801EFC">
        <w:rPr>
          <w:sz w:val="24"/>
        </w:rPr>
        <w:t>c.23tonnes CO</w:t>
      </w:r>
      <w:r w:rsidR="00801EFC">
        <w:rPr>
          <w:sz w:val="24"/>
          <w:vertAlign w:val="subscript"/>
        </w:rPr>
        <w:t>2(</w:t>
      </w:r>
      <w:proofErr w:type="spellStart"/>
      <w:r w:rsidR="00801EFC">
        <w:rPr>
          <w:sz w:val="24"/>
          <w:vertAlign w:val="subscript"/>
        </w:rPr>
        <w:t>eq</w:t>
      </w:r>
      <w:proofErr w:type="spellEnd"/>
      <w:r w:rsidR="00801EFC">
        <w:rPr>
          <w:sz w:val="24"/>
          <w:vertAlign w:val="subscript"/>
        </w:rPr>
        <w:t>)</w:t>
      </w:r>
      <w:r w:rsidR="00801EFC">
        <w:rPr>
          <w:sz w:val="24"/>
        </w:rPr>
        <w:t xml:space="preserve"> vs one tonne of glass at c.0.85tonnes CO</w:t>
      </w:r>
      <w:r w:rsidR="00801EFC">
        <w:rPr>
          <w:sz w:val="24"/>
          <w:vertAlign w:val="subscript"/>
        </w:rPr>
        <w:t>2(</w:t>
      </w:r>
      <w:proofErr w:type="spellStart"/>
      <w:r w:rsidR="00801EFC">
        <w:rPr>
          <w:sz w:val="24"/>
          <w:vertAlign w:val="subscript"/>
        </w:rPr>
        <w:t>eq</w:t>
      </w:r>
      <w:proofErr w:type="spellEnd"/>
      <w:r w:rsidR="00801EFC">
        <w:rPr>
          <w:sz w:val="24"/>
          <w:vertAlign w:val="subscript"/>
        </w:rPr>
        <w:t>)</w:t>
      </w:r>
      <w:r w:rsidR="00801EFC">
        <w:rPr>
          <w:sz w:val="24"/>
        </w:rPr>
        <w:t>.</w:t>
      </w:r>
    </w:p>
    <w:p w14:paraId="54F707CF" w14:textId="52FC44D1" w:rsidR="00801EFC" w:rsidRPr="00801EFC" w:rsidRDefault="00801EFC" w:rsidP="00586945">
      <w:pPr>
        <w:pStyle w:val="ListParagraph"/>
        <w:tabs>
          <w:tab w:val="left" w:pos="507"/>
        </w:tabs>
        <w:spacing w:before="121"/>
        <w:ind w:left="720" w:right="222" w:firstLine="0"/>
        <w:jc w:val="left"/>
        <w:rPr>
          <w:sz w:val="24"/>
        </w:rPr>
      </w:pPr>
      <w:r>
        <w:rPr>
          <w:sz w:val="24"/>
        </w:rPr>
        <w:t>The charts below depict the composition of the waste based on the CO</w:t>
      </w:r>
      <w:r>
        <w:rPr>
          <w:sz w:val="24"/>
          <w:vertAlign w:val="subscript"/>
        </w:rPr>
        <w:t>2(</w:t>
      </w:r>
      <w:proofErr w:type="spellStart"/>
      <w:r>
        <w:rPr>
          <w:sz w:val="24"/>
          <w:vertAlign w:val="subscript"/>
        </w:rPr>
        <w:t>eq</w:t>
      </w:r>
      <w:proofErr w:type="spellEnd"/>
      <w:r>
        <w:rPr>
          <w:sz w:val="24"/>
          <w:vertAlign w:val="subscript"/>
        </w:rPr>
        <w:t>)</w:t>
      </w:r>
      <w:r>
        <w:rPr>
          <w:sz w:val="24"/>
        </w:rPr>
        <w:t xml:space="preserve"> basis rather than tonnage (mass).</w:t>
      </w:r>
    </w:p>
    <w:p w14:paraId="216A1E72" w14:textId="7C5DC4E9" w:rsidR="00692513" w:rsidRDefault="00692513" w:rsidP="00695899">
      <w:pPr>
        <w:pStyle w:val="paragraph"/>
        <w:spacing w:before="0" w:beforeAutospacing="0" w:after="0" w:afterAutospacing="0"/>
        <w:ind w:left="142"/>
        <w:jc w:val="both"/>
        <w:textAlignment w:val="baseline"/>
        <w:rPr>
          <w:rFonts w:ascii="Segoe UI" w:hAnsi="Segoe UI" w:cs="Segoe UI"/>
          <w:sz w:val="18"/>
          <w:szCs w:val="18"/>
        </w:rPr>
      </w:pPr>
      <w:r>
        <w:rPr>
          <w:rStyle w:val="wacimagecontainer"/>
          <w:rFonts w:ascii="Segoe UI" w:hAnsi="Segoe UI" w:cs="Segoe UI"/>
          <w:noProof/>
          <w:sz w:val="18"/>
          <w:szCs w:val="18"/>
        </w:rPr>
        <w:drawing>
          <wp:inline distT="0" distB="0" distL="0" distR="0" wp14:anchorId="7FE99758" wp14:editId="23265EFE">
            <wp:extent cx="3371850" cy="2297762"/>
            <wp:effectExtent l="0" t="0" r="0" b="7620"/>
            <wp:docPr id="516579545" name="Picture 2" descr="A pie chart with different colored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579545" name="Picture 2" descr="A pie chart with different colored circles&#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4149" cy="2306143"/>
                    </a:xfrm>
                    <a:prstGeom prst="rect">
                      <a:avLst/>
                    </a:prstGeom>
                    <a:noFill/>
                    <a:ln>
                      <a:noFill/>
                    </a:ln>
                  </pic:spPr>
                </pic:pic>
              </a:graphicData>
            </a:graphic>
          </wp:inline>
        </w:drawing>
      </w:r>
      <w:r>
        <w:rPr>
          <w:rStyle w:val="wacimagecontainer"/>
          <w:rFonts w:ascii="Segoe UI" w:hAnsi="Segoe UI" w:cs="Segoe UI"/>
          <w:noProof/>
          <w:sz w:val="18"/>
          <w:szCs w:val="18"/>
        </w:rPr>
        <w:drawing>
          <wp:inline distT="0" distB="0" distL="0" distR="0" wp14:anchorId="3F6002A1" wp14:editId="51CBD857">
            <wp:extent cx="3390900" cy="2291577"/>
            <wp:effectExtent l="0" t="0" r="0" b="0"/>
            <wp:docPr id="1870778822" name="Picture 1" descr="A diagram of a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778822" name="Picture 1" descr="A diagram of a graph&#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6495" cy="2302116"/>
                    </a:xfrm>
                    <a:prstGeom prst="rect">
                      <a:avLst/>
                    </a:prstGeom>
                    <a:noFill/>
                    <a:ln>
                      <a:noFill/>
                    </a:ln>
                  </pic:spPr>
                </pic:pic>
              </a:graphicData>
            </a:graphic>
          </wp:inline>
        </w:drawing>
      </w:r>
      <w:r>
        <w:rPr>
          <w:rStyle w:val="eop"/>
          <w:rFonts w:ascii="Calibri" w:hAnsi="Calibri" w:cs="Calibri"/>
        </w:rPr>
        <w:t> </w:t>
      </w:r>
    </w:p>
    <w:p w14:paraId="6F61C223" w14:textId="70600826" w:rsidR="00692513" w:rsidRDefault="00692513" w:rsidP="00692513">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Calibri"/>
        </w:rPr>
        <w:t> </w:t>
      </w:r>
    </w:p>
    <w:p w14:paraId="1461B313" w14:textId="642A1BF5" w:rsidR="00692513" w:rsidRDefault="00692513" w:rsidP="00692513">
      <w:pPr>
        <w:pStyle w:val="ListParagraph"/>
        <w:tabs>
          <w:tab w:val="left" w:pos="507"/>
        </w:tabs>
        <w:spacing w:before="121"/>
        <w:ind w:left="720" w:right="222" w:firstLine="0"/>
        <w:jc w:val="left"/>
        <w:rPr>
          <w:bCs/>
          <w:sz w:val="24"/>
          <w:szCs w:val="24"/>
        </w:rPr>
      </w:pPr>
      <w:r w:rsidRPr="00692513">
        <w:rPr>
          <w:sz w:val="24"/>
          <w:szCs w:val="24"/>
        </w:rPr>
        <w:lastRenderedPageBreak/>
        <w:t>The overall proportions</w:t>
      </w:r>
      <w:r w:rsidRPr="00692513">
        <w:rPr>
          <w:bCs/>
          <w:sz w:val="24"/>
          <w:szCs w:val="24"/>
        </w:rPr>
        <w:t xml:space="preserve"> show that on average </w:t>
      </w:r>
      <w:r w:rsidRPr="00692513">
        <w:rPr>
          <w:sz w:val="24"/>
          <w:szCs w:val="24"/>
        </w:rPr>
        <w:t xml:space="preserve">Textile, Food waste and Plastic </w:t>
      </w:r>
      <w:r w:rsidRPr="00692513">
        <w:rPr>
          <w:bCs/>
          <w:sz w:val="24"/>
          <w:szCs w:val="24"/>
        </w:rPr>
        <w:t>account for more than 75% of average carbon embedded emissions in the residual waste</w:t>
      </w:r>
      <w:r w:rsidR="00801EFC">
        <w:rPr>
          <w:bCs/>
          <w:sz w:val="24"/>
          <w:szCs w:val="24"/>
        </w:rPr>
        <w:t xml:space="preserve"> and in targeting Net Zero should form the priorities for target materials</w:t>
      </w:r>
      <w:r w:rsidRPr="00692513">
        <w:rPr>
          <w:bCs/>
          <w:sz w:val="24"/>
          <w:szCs w:val="24"/>
        </w:rPr>
        <w:t>.  </w:t>
      </w:r>
    </w:p>
    <w:p w14:paraId="67D5B44E" w14:textId="695CBAD8" w:rsidR="00801EFC" w:rsidRPr="00692513" w:rsidRDefault="00801EFC" w:rsidP="00801EFC">
      <w:pPr>
        <w:pStyle w:val="ListParagraph"/>
        <w:numPr>
          <w:ilvl w:val="0"/>
          <w:numId w:val="4"/>
        </w:numPr>
        <w:tabs>
          <w:tab w:val="left" w:pos="507"/>
        </w:tabs>
        <w:spacing w:before="121"/>
        <w:ind w:right="222"/>
        <w:jc w:val="left"/>
        <w:rPr>
          <w:bCs/>
          <w:sz w:val="24"/>
          <w:szCs w:val="24"/>
        </w:rPr>
      </w:pPr>
      <w:r w:rsidRPr="00695899">
        <w:rPr>
          <w:b/>
          <w:bCs/>
          <w:sz w:val="24"/>
        </w:rPr>
        <w:t>Emission Trading Scheme (ETS) </w:t>
      </w:r>
    </w:p>
    <w:p w14:paraId="38C8E4EA" w14:textId="429E061C" w:rsidR="00801EFC" w:rsidRDefault="00801EFC" w:rsidP="00692513">
      <w:pPr>
        <w:pStyle w:val="ListParagraph"/>
        <w:tabs>
          <w:tab w:val="left" w:pos="507"/>
        </w:tabs>
        <w:spacing w:before="121"/>
        <w:ind w:left="720" w:right="222" w:firstLine="0"/>
        <w:jc w:val="left"/>
        <w:rPr>
          <w:bCs/>
          <w:sz w:val="24"/>
          <w:szCs w:val="24"/>
        </w:rPr>
      </w:pPr>
      <w:r>
        <w:rPr>
          <w:bCs/>
          <w:sz w:val="24"/>
          <w:szCs w:val="24"/>
        </w:rPr>
        <w:t xml:space="preserve">The Emissions Trading Scheme is based on the fossil carbon within the waste. This is not the same as the embodied carbon equivalent above and is measured on a tonnage (mass) basis. </w:t>
      </w:r>
    </w:p>
    <w:p w14:paraId="3E1E0F81" w14:textId="77777777" w:rsidR="00586945" w:rsidRDefault="00801EFC" w:rsidP="00692513">
      <w:pPr>
        <w:pStyle w:val="ListParagraph"/>
        <w:tabs>
          <w:tab w:val="left" w:pos="507"/>
        </w:tabs>
        <w:spacing w:before="121"/>
        <w:ind w:left="720" w:right="222" w:firstLine="0"/>
        <w:jc w:val="left"/>
        <w:rPr>
          <w:bCs/>
          <w:sz w:val="24"/>
          <w:szCs w:val="24"/>
        </w:rPr>
      </w:pPr>
      <w:r>
        <w:rPr>
          <w:bCs/>
          <w:sz w:val="24"/>
          <w:szCs w:val="24"/>
        </w:rPr>
        <w:t xml:space="preserve">The primary materials containing fossil carbon are textiles and plastics including e-waste. It is estimated that c.70% of the textiles produced are synthetic and fossil derived. This proportion means that the textiles will, on current volumes be </w:t>
      </w:r>
      <w:r w:rsidR="00586945">
        <w:rPr>
          <w:bCs/>
          <w:sz w:val="24"/>
          <w:szCs w:val="24"/>
        </w:rPr>
        <w:t>a</w:t>
      </w:r>
      <w:r>
        <w:rPr>
          <w:bCs/>
          <w:sz w:val="24"/>
          <w:szCs w:val="24"/>
        </w:rPr>
        <w:t xml:space="preserve"> greate</w:t>
      </w:r>
      <w:r w:rsidR="00586945">
        <w:rPr>
          <w:bCs/>
          <w:sz w:val="24"/>
          <w:szCs w:val="24"/>
        </w:rPr>
        <w:t>r</w:t>
      </w:r>
      <w:r>
        <w:rPr>
          <w:bCs/>
          <w:sz w:val="24"/>
          <w:szCs w:val="24"/>
        </w:rPr>
        <w:t xml:space="preserve"> ETS cost at c.4.2% of the </w:t>
      </w:r>
      <w:r w:rsidRPr="00586945">
        <w:rPr>
          <w:bCs/>
          <w:sz w:val="24"/>
          <w:szCs w:val="24"/>
        </w:rPr>
        <w:t xml:space="preserve">fossil </w:t>
      </w:r>
      <w:r w:rsidR="00586945">
        <w:rPr>
          <w:bCs/>
          <w:sz w:val="24"/>
          <w:szCs w:val="24"/>
        </w:rPr>
        <w:t>derived waste than recyclable plastics at 4%</w:t>
      </w:r>
      <w:r w:rsidRPr="00586945">
        <w:rPr>
          <w:bCs/>
          <w:sz w:val="24"/>
          <w:szCs w:val="24"/>
        </w:rPr>
        <w:t>.</w:t>
      </w:r>
      <w:r w:rsidR="00586945">
        <w:rPr>
          <w:bCs/>
          <w:sz w:val="24"/>
          <w:szCs w:val="24"/>
        </w:rPr>
        <w:t xml:space="preserve"> </w:t>
      </w:r>
    </w:p>
    <w:p w14:paraId="6C4202D8" w14:textId="0BB532E6" w:rsidR="00801EFC" w:rsidRDefault="00586945" w:rsidP="00692513">
      <w:pPr>
        <w:pStyle w:val="ListParagraph"/>
        <w:tabs>
          <w:tab w:val="left" w:pos="507"/>
        </w:tabs>
        <w:spacing w:before="121"/>
        <w:ind w:left="720" w:right="222" w:firstLine="0"/>
        <w:jc w:val="left"/>
        <w:rPr>
          <w:bCs/>
          <w:sz w:val="24"/>
          <w:szCs w:val="24"/>
        </w:rPr>
      </w:pPr>
      <w:r>
        <w:rPr>
          <w:bCs/>
          <w:sz w:val="24"/>
          <w:szCs w:val="24"/>
        </w:rPr>
        <w:t>The Non-recyclable Combustible (NRC) proportion (23%) of the residual waste is likely to contain the greatest proportion of fossil carbon but further breakdown is required.</w:t>
      </w:r>
    </w:p>
    <w:p w14:paraId="70F7D8C8" w14:textId="1E61CC28" w:rsidR="00692513" w:rsidRPr="00801EFC" w:rsidRDefault="00692513" w:rsidP="00801EFC">
      <w:pPr>
        <w:pStyle w:val="ListParagraph"/>
        <w:tabs>
          <w:tab w:val="left" w:pos="507"/>
        </w:tabs>
        <w:spacing w:before="121"/>
        <w:ind w:left="720" w:right="222" w:firstLine="0"/>
        <w:jc w:val="left"/>
        <w:rPr>
          <w:bCs/>
          <w:sz w:val="24"/>
          <w:szCs w:val="24"/>
        </w:rPr>
      </w:pPr>
      <w:r w:rsidRPr="00692513">
        <w:rPr>
          <w:bCs/>
          <w:sz w:val="24"/>
          <w:szCs w:val="24"/>
        </w:rPr>
        <w:t xml:space="preserve">This represents a </w:t>
      </w:r>
      <w:r w:rsidRPr="00692513">
        <w:rPr>
          <w:sz w:val="24"/>
          <w:szCs w:val="24"/>
        </w:rPr>
        <w:t xml:space="preserve">significant financial risk </w:t>
      </w:r>
      <w:r w:rsidRPr="00692513">
        <w:rPr>
          <w:bCs/>
          <w:sz w:val="24"/>
          <w:szCs w:val="24"/>
        </w:rPr>
        <w:t>under ETS scheme from 2028 and it underlines the immediate urgency with improving</w:t>
      </w:r>
      <w:r w:rsidR="00801EFC">
        <w:rPr>
          <w:bCs/>
          <w:sz w:val="24"/>
          <w:szCs w:val="24"/>
        </w:rPr>
        <w:t xml:space="preserve"> capture </w:t>
      </w:r>
      <w:r w:rsidRPr="00801EFC">
        <w:rPr>
          <w:bCs/>
          <w:sz w:val="24"/>
          <w:szCs w:val="24"/>
        </w:rPr>
        <w:t xml:space="preserve">as a priority </w:t>
      </w:r>
      <w:r w:rsidR="002E1F02">
        <w:rPr>
          <w:bCs/>
          <w:sz w:val="24"/>
          <w:szCs w:val="24"/>
        </w:rPr>
        <w:t>in addition to</w:t>
      </w:r>
      <w:r w:rsidR="00586945">
        <w:rPr>
          <w:bCs/>
          <w:sz w:val="24"/>
          <w:szCs w:val="24"/>
        </w:rPr>
        <w:t xml:space="preserve"> </w:t>
      </w:r>
      <w:r w:rsidR="00801EFC">
        <w:rPr>
          <w:bCs/>
          <w:sz w:val="24"/>
          <w:szCs w:val="24"/>
        </w:rPr>
        <w:t>f</w:t>
      </w:r>
      <w:r w:rsidRPr="00801EFC">
        <w:rPr>
          <w:bCs/>
          <w:sz w:val="24"/>
          <w:szCs w:val="24"/>
        </w:rPr>
        <w:t>ree textile home collections through our partnership with TRAID. </w:t>
      </w:r>
    </w:p>
    <w:p w14:paraId="7AC8C098" w14:textId="1D9D890A" w:rsidR="00CD7272" w:rsidRPr="00101DC6" w:rsidRDefault="00053B29" w:rsidP="00101DC6">
      <w:pPr>
        <w:pStyle w:val="ListParagraph"/>
        <w:numPr>
          <w:ilvl w:val="0"/>
          <w:numId w:val="4"/>
        </w:numPr>
        <w:tabs>
          <w:tab w:val="left" w:pos="507"/>
        </w:tabs>
        <w:spacing w:before="121"/>
        <w:ind w:right="222" w:hanging="171"/>
        <w:rPr>
          <w:sz w:val="24"/>
          <w:szCs w:val="24"/>
        </w:rPr>
      </w:pPr>
      <w:r w:rsidRPr="00405477">
        <w:rPr>
          <w:b/>
          <w:sz w:val="24"/>
        </w:rPr>
        <w:t>Risk</w:t>
      </w:r>
    </w:p>
    <w:tbl>
      <w:tblPr>
        <w:tblStyle w:val="TableGrid"/>
        <w:tblW w:w="0" w:type="auto"/>
        <w:jc w:val="center"/>
        <w:tblLook w:val="04A0" w:firstRow="1" w:lastRow="0" w:firstColumn="1" w:lastColumn="0" w:noHBand="0" w:noVBand="1"/>
      </w:tblPr>
      <w:tblGrid>
        <w:gridCol w:w="2583"/>
        <w:gridCol w:w="4075"/>
        <w:gridCol w:w="2279"/>
        <w:gridCol w:w="1286"/>
      </w:tblGrid>
      <w:tr w:rsidR="00FB12F2" w:rsidRPr="00F1423D" w14:paraId="1CE566EE" w14:textId="77777777" w:rsidTr="00A0099A">
        <w:trPr>
          <w:jc w:val="center"/>
        </w:trPr>
        <w:tc>
          <w:tcPr>
            <w:tcW w:w="2583" w:type="dxa"/>
          </w:tcPr>
          <w:p w14:paraId="0D45A218" w14:textId="77777777" w:rsidR="004F2CB0" w:rsidRPr="00F1423D" w:rsidRDefault="004F2CB0" w:rsidP="00FA052D">
            <w:pPr>
              <w:pStyle w:val="ListParagraph"/>
              <w:tabs>
                <w:tab w:val="left" w:pos="507"/>
              </w:tabs>
              <w:spacing w:before="121"/>
              <w:ind w:left="0" w:right="222" w:firstLine="0"/>
              <w:rPr>
                <w:b/>
                <w:bCs/>
                <w:sz w:val="20"/>
                <w:szCs w:val="20"/>
              </w:rPr>
            </w:pPr>
            <w:r w:rsidRPr="00F1423D">
              <w:rPr>
                <w:b/>
                <w:bCs/>
                <w:sz w:val="20"/>
                <w:szCs w:val="20"/>
              </w:rPr>
              <w:t>Risk</w:t>
            </w:r>
          </w:p>
        </w:tc>
        <w:tc>
          <w:tcPr>
            <w:tcW w:w="4075" w:type="dxa"/>
          </w:tcPr>
          <w:p w14:paraId="436824D9" w14:textId="77777777" w:rsidR="004F2CB0" w:rsidRPr="00F1423D" w:rsidRDefault="004F2CB0" w:rsidP="00FA052D">
            <w:pPr>
              <w:pStyle w:val="ListParagraph"/>
              <w:tabs>
                <w:tab w:val="left" w:pos="507"/>
              </w:tabs>
              <w:spacing w:before="121"/>
              <w:ind w:left="0" w:right="222" w:firstLine="0"/>
              <w:rPr>
                <w:b/>
                <w:bCs/>
                <w:sz w:val="20"/>
                <w:szCs w:val="20"/>
              </w:rPr>
            </w:pPr>
            <w:r w:rsidRPr="00F1423D">
              <w:rPr>
                <w:b/>
                <w:bCs/>
                <w:sz w:val="20"/>
                <w:szCs w:val="20"/>
              </w:rPr>
              <w:t>Mitigation</w:t>
            </w:r>
          </w:p>
        </w:tc>
        <w:tc>
          <w:tcPr>
            <w:tcW w:w="2279" w:type="dxa"/>
          </w:tcPr>
          <w:p w14:paraId="0D5A602B" w14:textId="77777777" w:rsidR="004F2CB0" w:rsidRPr="00F1423D" w:rsidRDefault="004F2CB0" w:rsidP="00FA052D">
            <w:pPr>
              <w:pStyle w:val="ListParagraph"/>
              <w:tabs>
                <w:tab w:val="left" w:pos="507"/>
              </w:tabs>
              <w:spacing w:before="121"/>
              <w:ind w:left="0" w:right="222" w:firstLine="0"/>
              <w:rPr>
                <w:b/>
                <w:bCs/>
                <w:sz w:val="20"/>
                <w:szCs w:val="20"/>
              </w:rPr>
            </w:pPr>
            <w:r w:rsidRPr="00F1423D">
              <w:rPr>
                <w:b/>
                <w:bCs/>
                <w:sz w:val="20"/>
                <w:szCs w:val="20"/>
              </w:rPr>
              <w:t>Owner</w:t>
            </w:r>
          </w:p>
        </w:tc>
        <w:tc>
          <w:tcPr>
            <w:tcW w:w="1286" w:type="dxa"/>
          </w:tcPr>
          <w:p w14:paraId="5F280219" w14:textId="77777777" w:rsidR="004F2CB0" w:rsidRPr="00F1423D" w:rsidRDefault="004F2CB0" w:rsidP="00FA052D">
            <w:pPr>
              <w:pStyle w:val="ListParagraph"/>
              <w:tabs>
                <w:tab w:val="left" w:pos="507"/>
              </w:tabs>
              <w:spacing w:before="121"/>
              <w:ind w:left="0" w:right="222" w:firstLine="0"/>
              <w:rPr>
                <w:b/>
                <w:bCs/>
                <w:sz w:val="20"/>
                <w:szCs w:val="20"/>
              </w:rPr>
            </w:pPr>
            <w:r w:rsidRPr="00F1423D">
              <w:rPr>
                <w:b/>
                <w:bCs/>
                <w:sz w:val="20"/>
                <w:szCs w:val="20"/>
              </w:rPr>
              <w:t>RAG</w:t>
            </w:r>
          </w:p>
        </w:tc>
      </w:tr>
      <w:tr w:rsidR="00A0099A" w:rsidRPr="00F1423D" w14:paraId="37D21C39" w14:textId="77777777" w:rsidTr="00212229">
        <w:trPr>
          <w:jc w:val="center"/>
        </w:trPr>
        <w:tc>
          <w:tcPr>
            <w:tcW w:w="2583" w:type="dxa"/>
          </w:tcPr>
          <w:p w14:paraId="7EB49952" w14:textId="4A3A4F49" w:rsidR="00A0099A" w:rsidRPr="00F1423D" w:rsidRDefault="00212229" w:rsidP="00A0099A">
            <w:pPr>
              <w:pStyle w:val="ListParagraph"/>
              <w:tabs>
                <w:tab w:val="left" w:pos="507"/>
              </w:tabs>
              <w:spacing w:before="121"/>
              <w:ind w:left="0" w:right="222" w:firstLine="0"/>
              <w:rPr>
                <w:sz w:val="20"/>
                <w:szCs w:val="20"/>
              </w:rPr>
            </w:pPr>
            <w:r>
              <w:rPr>
                <w:sz w:val="20"/>
                <w:szCs w:val="20"/>
              </w:rPr>
              <w:t>Emissions Trading Scheme (ETS) costs of fossil carbon through Energy Recovery</w:t>
            </w:r>
          </w:p>
        </w:tc>
        <w:tc>
          <w:tcPr>
            <w:tcW w:w="4075" w:type="dxa"/>
          </w:tcPr>
          <w:p w14:paraId="716AD9D2" w14:textId="3210046B" w:rsidR="00A0099A" w:rsidRPr="00F1423D" w:rsidRDefault="00212229" w:rsidP="00A0099A">
            <w:pPr>
              <w:pStyle w:val="ListParagraph"/>
              <w:tabs>
                <w:tab w:val="left" w:pos="507"/>
              </w:tabs>
              <w:spacing w:before="121"/>
              <w:ind w:left="0" w:right="222" w:firstLine="0"/>
              <w:rPr>
                <w:sz w:val="20"/>
                <w:szCs w:val="20"/>
              </w:rPr>
            </w:pPr>
            <w:r>
              <w:rPr>
                <w:sz w:val="20"/>
                <w:szCs w:val="20"/>
              </w:rPr>
              <w:t>Fossil Carbon materials effectively captured (Textiles, plastics, E-waste)</w:t>
            </w:r>
          </w:p>
        </w:tc>
        <w:tc>
          <w:tcPr>
            <w:tcW w:w="2279" w:type="dxa"/>
          </w:tcPr>
          <w:p w14:paraId="2B333105" w14:textId="65561474" w:rsidR="00A0099A" w:rsidRPr="00F1423D" w:rsidRDefault="00212229" w:rsidP="00A0099A">
            <w:pPr>
              <w:pStyle w:val="ListParagraph"/>
              <w:tabs>
                <w:tab w:val="left" w:pos="507"/>
              </w:tabs>
              <w:spacing w:before="121"/>
              <w:ind w:left="0" w:right="222" w:firstLine="0"/>
              <w:rPr>
                <w:sz w:val="20"/>
                <w:szCs w:val="20"/>
              </w:rPr>
            </w:pPr>
            <w:r>
              <w:rPr>
                <w:sz w:val="20"/>
                <w:szCs w:val="20"/>
              </w:rPr>
              <w:t>Boroughs/WLWA</w:t>
            </w:r>
          </w:p>
        </w:tc>
        <w:tc>
          <w:tcPr>
            <w:tcW w:w="1286" w:type="dxa"/>
            <w:shd w:val="clear" w:color="auto" w:fill="C00000"/>
          </w:tcPr>
          <w:p w14:paraId="65EC5DA9" w14:textId="7996B11A" w:rsidR="00A0099A" w:rsidRPr="00F1423D" w:rsidRDefault="00212229" w:rsidP="00A0099A">
            <w:pPr>
              <w:pStyle w:val="ListParagraph"/>
              <w:tabs>
                <w:tab w:val="left" w:pos="507"/>
              </w:tabs>
              <w:spacing w:before="121"/>
              <w:ind w:left="0" w:right="222" w:firstLine="0"/>
              <w:rPr>
                <w:sz w:val="20"/>
                <w:szCs w:val="20"/>
              </w:rPr>
            </w:pPr>
            <w:r w:rsidRPr="00212229">
              <w:rPr>
                <w:color w:val="000000" w:themeColor="text1"/>
                <w:sz w:val="20"/>
                <w:szCs w:val="20"/>
              </w:rPr>
              <w:t>Red</w:t>
            </w:r>
          </w:p>
        </w:tc>
      </w:tr>
      <w:tr w:rsidR="004F2CB0" w:rsidRPr="00F1423D" w14:paraId="0899B74A" w14:textId="77777777" w:rsidTr="004F2CB0">
        <w:trPr>
          <w:jc w:val="center"/>
        </w:trPr>
        <w:tc>
          <w:tcPr>
            <w:tcW w:w="2583" w:type="dxa"/>
          </w:tcPr>
          <w:p w14:paraId="77BFC6FF" w14:textId="6DBE985B" w:rsidR="004F2CB0" w:rsidRPr="00F1423D" w:rsidRDefault="00212229" w:rsidP="00FA052D">
            <w:pPr>
              <w:pStyle w:val="ListParagraph"/>
              <w:tabs>
                <w:tab w:val="left" w:pos="507"/>
              </w:tabs>
              <w:spacing w:before="121"/>
              <w:ind w:left="0" w:right="222" w:firstLine="0"/>
              <w:rPr>
                <w:sz w:val="20"/>
                <w:szCs w:val="20"/>
              </w:rPr>
            </w:pPr>
            <w:r>
              <w:rPr>
                <w:sz w:val="20"/>
                <w:szCs w:val="20"/>
              </w:rPr>
              <w:t>E-waste/waste electricals (WEEE) causes increase in frequency of fires</w:t>
            </w:r>
          </w:p>
        </w:tc>
        <w:tc>
          <w:tcPr>
            <w:tcW w:w="4075" w:type="dxa"/>
          </w:tcPr>
          <w:p w14:paraId="1342231E" w14:textId="0838D112" w:rsidR="004F2CB0" w:rsidRPr="00F1423D" w:rsidRDefault="00212229" w:rsidP="00FA052D">
            <w:pPr>
              <w:pStyle w:val="ListParagraph"/>
              <w:tabs>
                <w:tab w:val="left" w:pos="507"/>
              </w:tabs>
              <w:spacing w:before="121"/>
              <w:ind w:left="0" w:right="222" w:firstLine="0"/>
              <w:rPr>
                <w:sz w:val="20"/>
                <w:szCs w:val="20"/>
              </w:rPr>
            </w:pPr>
            <w:r>
              <w:rPr>
                <w:sz w:val="20"/>
                <w:szCs w:val="20"/>
              </w:rPr>
              <w:t>Alternative collections for capture and Communications for public engagement</w:t>
            </w:r>
          </w:p>
        </w:tc>
        <w:tc>
          <w:tcPr>
            <w:tcW w:w="2279" w:type="dxa"/>
          </w:tcPr>
          <w:p w14:paraId="6B4A00C0" w14:textId="70C3C987" w:rsidR="004F2CB0" w:rsidRPr="00F1423D" w:rsidRDefault="00212229" w:rsidP="00FA052D">
            <w:pPr>
              <w:pStyle w:val="ListParagraph"/>
              <w:tabs>
                <w:tab w:val="left" w:pos="507"/>
              </w:tabs>
              <w:spacing w:before="121"/>
              <w:ind w:left="0" w:right="222" w:firstLine="0"/>
              <w:rPr>
                <w:sz w:val="20"/>
                <w:szCs w:val="20"/>
              </w:rPr>
            </w:pPr>
            <w:r>
              <w:rPr>
                <w:sz w:val="20"/>
                <w:szCs w:val="20"/>
              </w:rPr>
              <w:t>Borough/WLWA</w:t>
            </w:r>
          </w:p>
        </w:tc>
        <w:tc>
          <w:tcPr>
            <w:tcW w:w="1286" w:type="dxa"/>
            <w:shd w:val="clear" w:color="auto" w:fill="FFC000"/>
          </w:tcPr>
          <w:p w14:paraId="110BB133" w14:textId="078AA77B" w:rsidR="004F2CB0" w:rsidRPr="00F1423D" w:rsidRDefault="00212229" w:rsidP="00FA052D">
            <w:pPr>
              <w:pStyle w:val="ListParagraph"/>
              <w:tabs>
                <w:tab w:val="left" w:pos="507"/>
              </w:tabs>
              <w:spacing w:before="121"/>
              <w:ind w:left="0" w:right="222" w:firstLine="0"/>
              <w:rPr>
                <w:sz w:val="20"/>
                <w:szCs w:val="20"/>
              </w:rPr>
            </w:pPr>
            <w:r>
              <w:rPr>
                <w:sz w:val="20"/>
                <w:szCs w:val="20"/>
              </w:rPr>
              <w:t>Amber</w:t>
            </w:r>
          </w:p>
        </w:tc>
      </w:tr>
      <w:tr w:rsidR="00212229" w:rsidRPr="00F1423D" w14:paraId="5B95D6BC" w14:textId="77777777" w:rsidTr="004F2CB0">
        <w:trPr>
          <w:jc w:val="center"/>
        </w:trPr>
        <w:tc>
          <w:tcPr>
            <w:tcW w:w="2583" w:type="dxa"/>
          </w:tcPr>
          <w:p w14:paraId="7198C490" w14:textId="0639D491" w:rsidR="00212229" w:rsidRDefault="00212229" w:rsidP="00FA052D">
            <w:pPr>
              <w:pStyle w:val="ListParagraph"/>
              <w:tabs>
                <w:tab w:val="left" w:pos="507"/>
              </w:tabs>
              <w:spacing w:before="121"/>
              <w:ind w:left="0" w:right="222" w:firstLine="0"/>
              <w:rPr>
                <w:sz w:val="20"/>
                <w:szCs w:val="20"/>
              </w:rPr>
            </w:pPr>
            <w:r>
              <w:rPr>
                <w:sz w:val="20"/>
                <w:szCs w:val="20"/>
              </w:rPr>
              <w:t>Continuing high volume of materials and embodied carbon</w:t>
            </w:r>
          </w:p>
        </w:tc>
        <w:tc>
          <w:tcPr>
            <w:tcW w:w="4075" w:type="dxa"/>
          </w:tcPr>
          <w:p w14:paraId="0CB9CD3D" w14:textId="2F84C0DA" w:rsidR="00212229" w:rsidRDefault="00212229" w:rsidP="00FA052D">
            <w:pPr>
              <w:pStyle w:val="ListParagraph"/>
              <w:tabs>
                <w:tab w:val="left" w:pos="507"/>
              </w:tabs>
              <w:spacing w:before="121"/>
              <w:ind w:left="0" w:right="222" w:firstLine="0"/>
              <w:rPr>
                <w:sz w:val="20"/>
                <w:szCs w:val="20"/>
              </w:rPr>
            </w:pPr>
            <w:r>
              <w:rPr>
                <w:sz w:val="20"/>
                <w:szCs w:val="20"/>
              </w:rPr>
              <w:t>Capture of food waste and investment in continuous improvement of the food services. (Capital and revenue)</w:t>
            </w:r>
          </w:p>
        </w:tc>
        <w:tc>
          <w:tcPr>
            <w:tcW w:w="2279" w:type="dxa"/>
          </w:tcPr>
          <w:p w14:paraId="4F0359A0" w14:textId="59C9F695" w:rsidR="00212229" w:rsidRDefault="00212229" w:rsidP="00FA052D">
            <w:pPr>
              <w:pStyle w:val="ListParagraph"/>
              <w:tabs>
                <w:tab w:val="left" w:pos="507"/>
              </w:tabs>
              <w:spacing w:before="121"/>
              <w:ind w:left="0" w:right="222" w:firstLine="0"/>
              <w:rPr>
                <w:sz w:val="20"/>
                <w:szCs w:val="20"/>
              </w:rPr>
            </w:pPr>
            <w:r>
              <w:rPr>
                <w:sz w:val="20"/>
                <w:szCs w:val="20"/>
              </w:rPr>
              <w:t>Borough/WLWA</w:t>
            </w:r>
          </w:p>
        </w:tc>
        <w:tc>
          <w:tcPr>
            <w:tcW w:w="1286" w:type="dxa"/>
            <w:shd w:val="clear" w:color="auto" w:fill="FFC000"/>
          </w:tcPr>
          <w:p w14:paraId="4E923F5E" w14:textId="0CA8D80C" w:rsidR="00212229" w:rsidRDefault="00212229" w:rsidP="00FA052D">
            <w:pPr>
              <w:pStyle w:val="ListParagraph"/>
              <w:tabs>
                <w:tab w:val="left" w:pos="507"/>
              </w:tabs>
              <w:spacing w:before="121"/>
              <w:ind w:left="0" w:right="222" w:firstLine="0"/>
              <w:rPr>
                <w:sz w:val="20"/>
                <w:szCs w:val="20"/>
              </w:rPr>
            </w:pPr>
            <w:r>
              <w:rPr>
                <w:sz w:val="20"/>
                <w:szCs w:val="20"/>
              </w:rPr>
              <w:t>Amber</w:t>
            </w:r>
          </w:p>
        </w:tc>
      </w:tr>
    </w:tbl>
    <w:p w14:paraId="47DFEDF9" w14:textId="06FD0E26" w:rsidR="006368AB" w:rsidRPr="00212229" w:rsidRDefault="00053B29" w:rsidP="006368AB">
      <w:pPr>
        <w:pStyle w:val="ListParagraph"/>
        <w:numPr>
          <w:ilvl w:val="0"/>
          <w:numId w:val="4"/>
        </w:numPr>
        <w:tabs>
          <w:tab w:val="left" w:pos="507"/>
        </w:tabs>
        <w:ind w:left="426" w:right="220" w:hanging="218"/>
        <w:rPr>
          <w:sz w:val="24"/>
        </w:rPr>
      </w:pPr>
      <w:r w:rsidRPr="00405477">
        <w:rPr>
          <w:b/>
          <w:sz w:val="24"/>
        </w:rPr>
        <w:t>Financial Implications</w:t>
      </w:r>
      <w:r w:rsidR="00212229">
        <w:rPr>
          <w:b/>
          <w:sz w:val="24"/>
        </w:rPr>
        <w:t xml:space="preserve"> – </w:t>
      </w:r>
    </w:p>
    <w:p w14:paraId="35148878" w14:textId="6BE872EE" w:rsidR="00212229" w:rsidRPr="00692513" w:rsidRDefault="00212229" w:rsidP="00692513">
      <w:pPr>
        <w:pStyle w:val="ListParagraph"/>
        <w:tabs>
          <w:tab w:val="left" w:pos="507"/>
        </w:tabs>
        <w:spacing w:before="121"/>
        <w:ind w:left="720" w:right="222" w:firstLine="0"/>
        <w:jc w:val="left"/>
        <w:rPr>
          <w:sz w:val="24"/>
          <w:szCs w:val="24"/>
        </w:rPr>
      </w:pPr>
      <w:r w:rsidRPr="00692513">
        <w:t xml:space="preserve">The Emissions Trading Scheme will be brought in to cover waste plants from 2028 and will levy an additional cost of c. £18 million per annum at the current volume and composition.  This equates to £3 million per borough, per year and will need to be factored in to Borough </w:t>
      </w:r>
      <w:r w:rsidR="002E1F02">
        <w:t>medium term plans</w:t>
      </w:r>
      <w:r w:rsidRPr="00692513">
        <w:t>.</w:t>
      </w:r>
    </w:p>
    <w:p w14:paraId="555A369C" w14:textId="77777777" w:rsidR="00692513" w:rsidRPr="00692513" w:rsidRDefault="00692513" w:rsidP="00692513">
      <w:pPr>
        <w:pStyle w:val="ListParagraph"/>
        <w:tabs>
          <w:tab w:val="left" w:pos="507"/>
        </w:tabs>
        <w:spacing w:before="121"/>
        <w:ind w:left="720" w:right="222" w:firstLine="0"/>
        <w:jc w:val="left"/>
      </w:pPr>
    </w:p>
    <w:p w14:paraId="3F65199B" w14:textId="4F8DF98A" w:rsidR="00692513" w:rsidRPr="002E1F02" w:rsidRDefault="00212229" w:rsidP="00692513">
      <w:pPr>
        <w:pStyle w:val="ListParagraph"/>
        <w:tabs>
          <w:tab w:val="left" w:pos="507"/>
        </w:tabs>
        <w:spacing w:before="121"/>
        <w:ind w:left="720" w:right="222" w:firstLine="0"/>
        <w:jc w:val="left"/>
        <w:rPr>
          <w:sz w:val="24"/>
          <w:szCs w:val="24"/>
        </w:rPr>
      </w:pPr>
      <w:r w:rsidRPr="002E1F02">
        <w:rPr>
          <w:sz w:val="24"/>
          <w:szCs w:val="24"/>
        </w:rPr>
        <w:t>The Emissions Trading Scheme will be levied against fossil carbon products such as soft plastics, textiles and e-waste.  Our ability to segregate fossil based plastic is currently only through resident engagement</w:t>
      </w:r>
      <w:r w:rsidR="00692513" w:rsidRPr="002E1F02">
        <w:rPr>
          <w:sz w:val="24"/>
          <w:szCs w:val="24"/>
        </w:rPr>
        <w:t xml:space="preserve"> with kerbside and communal collection </w:t>
      </w:r>
      <w:r w:rsidR="002E1F02" w:rsidRPr="002E1F02">
        <w:rPr>
          <w:sz w:val="24"/>
          <w:szCs w:val="24"/>
        </w:rPr>
        <w:t xml:space="preserve">dry mixed recycling </w:t>
      </w:r>
      <w:r w:rsidR="00692513" w:rsidRPr="002E1F02">
        <w:rPr>
          <w:sz w:val="24"/>
          <w:szCs w:val="24"/>
        </w:rPr>
        <w:t>services</w:t>
      </w:r>
      <w:r w:rsidRPr="002E1F02">
        <w:rPr>
          <w:sz w:val="24"/>
          <w:szCs w:val="24"/>
        </w:rPr>
        <w:t>. To mitigate the potential impact and ensure we have the requisite capacity we need to design and invest in infrastructure to segregate effectively in new facilities capable of sorting material and retaining value locally where possible. If we don’t develop our infrastructure, the additional money will simply go to funding penalties, not creating a solution.</w:t>
      </w:r>
    </w:p>
    <w:p w14:paraId="611E3DF1" w14:textId="77777777" w:rsidR="00692513" w:rsidRPr="002E1F02" w:rsidRDefault="00692513" w:rsidP="00692513">
      <w:pPr>
        <w:pStyle w:val="ListParagraph"/>
        <w:tabs>
          <w:tab w:val="left" w:pos="507"/>
        </w:tabs>
        <w:spacing w:before="121"/>
        <w:ind w:left="720" w:right="222" w:firstLine="0"/>
        <w:jc w:val="left"/>
        <w:rPr>
          <w:sz w:val="24"/>
          <w:szCs w:val="24"/>
        </w:rPr>
      </w:pPr>
    </w:p>
    <w:p w14:paraId="550E4D29" w14:textId="7D59B504" w:rsidR="00212229" w:rsidRPr="002E1F02" w:rsidRDefault="00212229" w:rsidP="00692513">
      <w:pPr>
        <w:pStyle w:val="ListParagraph"/>
        <w:tabs>
          <w:tab w:val="left" w:pos="507"/>
        </w:tabs>
        <w:spacing w:before="121"/>
        <w:ind w:left="720" w:right="222" w:firstLine="0"/>
        <w:jc w:val="left"/>
        <w:rPr>
          <w:sz w:val="24"/>
          <w:szCs w:val="24"/>
        </w:rPr>
      </w:pPr>
      <w:r w:rsidRPr="002E1F02">
        <w:rPr>
          <w:sz w:val="24"/>
          <w:szCs w:val="24"/>
        </w:rPr>
        <w:t xml:space="preserve">The capture services and waste sites require change, our infrastructure is struggling with capacity across Borough transfer stations, HRRCs and collection services </w:t>
      </w:r>
      <w:r w:rsidR="00692513" w:rsidRPr="002E1F02">
        <w:rPr>
          <w:sz w:val="24"/>
          <w:szCs w:val="24"/>
        </w:rPr>
        <w:t>with recycling volumes set to double if we are to meet 65% recycling targets</w:t>
      </w:r>
      <w:r w:rsidRPr="002E1F02">
        <w:rPr>
          <w:sz w:val="24"/>
          <w:szCs w:val="24"/>
        </w:rPr>
        <w:t>.</w:t>
      </w:r>
      <w:r w:rsidR="00692513" w:rsidRPr="002E1F02">
        <w:rPr>
          <w:sz w:val="24"/>
          <w:szCs w:val="24"/>
        </w:rPr>
        <w:t xml:space="preserve"> </w:t>
      </w:r>
      <w:r w:rsidRPr="002E1F02">
        <w:rPr>
          <w:sz w:val="24"/>
          <w:szCs w:val="24"/>
        </w:rPr>
        <w:t xml:space="preserve">More segregation of materials and more sorting will be required to extract specific streams </w:t>
      </w:r>
      <w:r w:rsidR="00586945">
        <w:rPr>
          <w:sz w:val="24"/>
          <w:szCs w:val="24"/>
        </w:rPr>
        <w:t>to divert away from</w:t>
      </w:r>
      <w:r w:rsidRPr="002E1F02">
        <w:rPr>
          <w:sz w:val="24"/>
          <w:szCs w:val="24"/>
        </w:rPr>
        <w:t xml:space="preserve"> residual waste such as plastics and textiles.   </w:t>
      </w:r>
    </w:p>
    <w:p w14:paraId="344292B7" w14:textId="77777777" w:rsidR="00692513" w:rsidRPr="002E1F02" w:rsidRDefault="00692513" w:rsidP="00692513">
      <w:pPr>
        <w:pStyle w:val="ListParagraph"/>
        <w:tabs>
          <w:tab w:val="left" w:pos="507"/>
        </w:tabs>
        <w:spacing w:before="121"/>
        <w:ind w:left="720" w:right="222" w:firstLine="0"/>
        <w:jc w:val="left"/>
        <w:rPr>
          <w:sz w:val="24"/>
          <w:szCs w:val="24"/>
        </w:rPr>
      </w:pPr>
    </w:p>
    <w:p w14:paraId="0F3DDD4C" w14:textId="0182BAC4" w:rsidR="00212229" w:rsidRPr="002E1F02" w:rsidRDefault="00212229" w:rsidP="00692513">
      <w:pPr>
        <w:pStyle w:val="ListParagraph"/>
        <w:tabs>
          <w:tab w:val="left" w:pos="507"/>
        </w:tabs>
        <w:spacing w:before="121"/>
        <w:ind w:left="720" w:right="222" w:firstLine="0"/>
        <w:jc w:val="left"/>
        <w:rPr>
          <w:sz w:val="24"/>
          <w:szCs w:val="24"/>
        </w:rPr>
      </w:pPr>
      <w:r w:rsidRPr="002E1F02">
        <w:rPr>
          <w:sz w:val="24"/>
          <w:szCs w:val="24"/>
        </w:rPr>
        <w:t xml:space="preserve">There is also a risk associated with </w:t>
      </w:r>
      <w:r w:rsidR="00692513" w:rsidRPr="002E1F02">
        <w:rPr>
          <w:sz w:val="24"/>
          <w:szCs w:val="24"/>
        </w:rPr>
        <w:t xml:space="preserve">the fossil content of </w:t>
      </w:r>
      <w:r w:rsidRPr="002E1F02">
        <w:rPr>
          <w:sz w:val="24"/>
          <w:szCs w:val="24"/>
        </w:rPr>
        <w:t>residual wast</w:t>
      </w:r>
      <w:r w:rsidR="00692513" w:rsidRPr="002E1F02">
        <w:rPr>
          <w:sz w:val="24"/>
          <w:szCs w:val="24"/>
        </w:rPr>
        <w:t xml:space="preserve">e charges being traded </w:t>
      </w:r>
      <w:r w:rsidR="00692513" w:rsidRPr="002E1F02">
        <w:rPr>
          <w:sz w:val="24"/>
          <w:szCs w:val="24"/>
        </w:rPr>
        <w:lastRenderedPageBreak/>
        <w:t>as</w:t>
      </w:r>
      <w:r w:rsidRPr="002E1F02">
        <w:rPr>
          <w:sz w:val="24"/>
          <w:szCs w:val="24"/>
        </w:rPr>
        <w:t xml:space="preserve"> this could see the charge from the Emissions Trading Scheme fluctuate considerably.  Early commentary is stating that this charge could vary by</w:t>
      </w:r>
      <w:r w:rsidR="00692513" w:rsidRPr="002E1F02">
        <w:rPr>
          <w:sz w:val="24"/>
          <w:szCs w:val="24"/>
        </w:rPr>
        <w:t xml:space="preserve"> up to</w:t>
      </w:r>
      <w:r w:rsidRPr="002E1F02">
        <w:rPr>
          <w:sz w:val="24"/>
          <w:szCs w:val="24"/>
        </w:rPr>
        <w:t xml:space="preserve"> £10 million each year dependent on the</w:t>
      </w:r>
      <w:r w:rsidR="00692513" w:rsidRPr="002E1F02">
        <w:rPr>
          <w:sz w:val="24"/>
          <w:szCs w:val="24"/>
        </w:rPr>
        <w:t xml:space="preserve"> market value of</w:t>
      </w:r>
      <w:r w:rsidRPr="002E1F02">
        <w:rPr>
          <w:sz w:val="24"/>
          <w:szCs w:val="24"/>
        </w:rPr>
        <w:t xml:space="preserve"> carbon </w:t>
      </w:r>
      <w:r w:rsidR="00692513" w:rsidRPr="002E1F02">
        <w:rPr>
          <w:sz w:val="24"/>
          <w:szCs w:val="24"/>
        </w:rPr>
        <w:t>credit</w:t>
      </w:r>
      <w:r w:rsidRPr="002E1F02">
        <w:rPr>
          <w:sz w:val="24"/>
          <w:szCs w:val="24"/>
        </w:rPr>
        <w:t xml:space="preserve">.  The Authority has set aside sums to build up against this fluctuation should fossil carbon in residual not decrease.   </w:t>
      </w:r>
    </w:p>
    <w:p w14:paraId="600A9D7D" w14:textId="77777777" w:rsidR="00212229" w:rsidRPr="00692513" w:rsidRDefault="00212229" w:rsidP="00692513">
      <w:pPr>
        <w:pStyle w:val="ListParagraph"/>
        <w:tabs>
          <w:tab w:val="left" w:pos="507"/>
        </w:tabs>
        <w:spacing w:before="121"/>
        <w:ind w:left="720" w:right="222" w:firstLine="0"/>
        <w:jc w:val="left"/>
        <w:rPr>
          <w:sz w:val="24"/>
          <w:szCs w:val="24"/>
        </w:rPr>
      </w:pPr>
    </w:p>
    <w:p w14:paraId="3D84F7B9" w14:textId="08230D4F" w:rsidR="00FB0403" w:rsidRDefault="00053B29" w:rsidP="00D958FC">
      <w:pPr>
        <w:pStyle w:val="ListParagraph"/>
        <w:numPr>
          <w:ilvl w:val="0"/>
          <w:numId w:val="4"/>
        </w:numPr>
        <w:tabs>
          <w:tab w:val="left" w:pos="507"/>
        </w:tabs>
        <w:spacing w:before="121"/>
        <w:ind w:left="426" w:right="224" w:hanging="284"/>
        <w:rPr>
          <w:sz w:val="24"/>
        </w:rPr>
      </w:pPr>
      <w:r w:rsidRPr="00405477">
        <w:rPr>
          <w:b/>
          <w:sz w:val="24"/>
        </w:rPr>
        <w:t>Staffing Implications</w:t>
      </w:r>
      <w:r w:rsidRPr="00405477">
        <w:rPr>
          <w:sz w:val="24"/>
        </w:rPr>
        <w:t xml:space="preserve"> –</w:t>
      </w:r>
      <w:r w:rsidRPr="00405477">
        <w:rPr>
          <w:b/>
          <w:sz w:val="24"/>
        </w:rPr>
        <w:t xml:space="preserve"> </w:t>
      </w:r>
      <w:bookmarkStart w:id="0" w:name="_Hlk145412201"/>
      <w:r w:rsidR="00212229" w:rsidRPr="00212229">
        <w:rPr>
          <w:bCs/>
          <w:sz w:val="24"/>
        </w:rPr>
        <w:t>None</w:t>
      </w:r>
    </w:p>
    <w:bookmarkEnd w:id="0"/>
    <w:p w14:paraId="6CF1F16B" w14:textId="15A6FB29" w:rsidR="0041713B" w:rsidRPr="008B7F69" w:rsidRDefault="00053B29" w:rsidP="00963C13">
      <w:pPr>
        <w:pStyle w:val="ListParagraph"/>
        <w:numPr>
          <w:ilvl w:val="0"/>
          <w:numId w:val="4"/>
        </w:numPr>
        <w:tabs>
          <w:tab w:val="left" w:pos="507"/>
        </w:tabs>
        <w:spacing w:before="121"/>
        <w:ind w:left="426" w:right="224" w:hanging="284"/>
        <w:rPr>
          <w:sz w:val="24"/>
        </w:rPr>
      </w:pPr>
      <w:r w:rsidRPr="002609F8">
        <w:rPr>
          <w:b/>
          <w:sz w:val="24"/>
        </w:rPr>
        <w:t xml:space="preserve">Health and Safety Implications </w:t>
      </w:r>
      <w:r w:rsidRPr="002609F8">
        <w:rPr>
          <w:sz w:val="24"/>
        </w:rPr>
        <w:t>–</w:t>
      </w:r>
      <w:r w:rsidR="00963C13">
        <w:rPr>
          <w:sz w:val="24"/>
        </w:rPr>
        <w:t xml:space="preserve"> </w:t>
      </w:r>
      <w:r w:rsidR="00437A5A">
        <w:rPr>
          <w:sz w:val="24"/>
        </w:rPr>
        <w:t>None</w:t>
      </w:r>
    </w:p>
    <w:p w14:paraId="1FC57A29" w14:textId="77777777" w:rsidR="00AC5D0D" w:rsidRDefault="00053B29" w:rsidP="00AC5D0D">
      <w:pPr>
        <w:pStyle w:val="ListParagraph"/>
        <w:numPr>
          <w:ilvl w:val="0"/>
          <w:numId w:val="4"/>
        </w:numPr>
        <w:tabs>
          <w:tab w:val="left" w:pos="507"/>
        </w:tabs>
        <w:spacing w:before="121"/>
        <w:ind w:left="506" w:hanging="361"/>
        <w:rPr>
          <w:sz w:val="24"/>
        </w:rPr>
      </w:pPr>
      <w:r w:rsidRPr="002609F8">
        <w:rPr>
          <w:b/>
          <w:sz w:val="24"/>
        </w:rPr>
        <w:t>Legal</w:t>
      </w:r>
      <w:r w:rsidRPr="002609F8">
        <w:rPr>
          <w:b/>
          <w:spacing w:val="-1"/>
          <w:sz w:val="24"/>
        </w:rPr>
        <w:t xml:space="preserve"> </w:t>
      </w:r>
      <w:r w:rsidRPr="002609F8">
        <w:rPr>
          <w:b/>
          <w:sz w:val="24"/>
        </w:rPr>
        <w:t>Implications</w:t>
      </w:r>
      <w:r w:rsidRPr="002609F8">
        <w:rPr>
          <w:b/>
          <w:spacing w:val="2"/>
          <w:sz w:val="24"/>
        </w:rPr>
        <w:t xml:space="preserve"> </w:t>
      </w:r>
      <w:r w:rsidR="000E0376">
        <w:rPr>
          <w:b/>
          <w:sz w:val="24"/>
        </w:rPr>
        <w:t>–</w:t>
      </w:r>
      <w:r w:rsidRPr="002609F8">
        <w:rPr>
          <w:b/>
          <w:spacing w:val="-4"/>
          <w:sz w:val="24"/>
        </w:rPr>
        <w:t xml:space="preserve"> </w:t>
      </w:r>
      <w:r w:rsidR="00963C13">
        <w:rPr>
          <w:sz w:val="24"/>
        </w:rPr>
        <w:t>N</w:t>
      </w:r>
      <w:r w:rsidRPr="002609F8">
        <w:rPr>
          <w:sz w:val="24"/>
        </w:rPr>
        <w:t>one</w:t>
      </w:r>
    </w:p>
    <w:p w14:paraId="7E0AD81E" w14:textId="4924B1CA" w:rsidR="007F7432" w:rsidRPr="00AC5D0D" w:rsidRDefault="007F7432" w:rsidP="00AC5D0D">
      <w:pPr>
        <w:pStyle w:val="ListParagraph"/>
        <w:numPr>
          <w:ilvl w:val="0"/>
          <w:numId w:val="4"/>
        </w:numPr>
        <w:tabs>
          <w:tab w:val="left" w:pos="507"/>
        </w:tabs>
        <w:spacing w:before="121"/>
        <w:ind w:left="506" w:hanging="361"/>
        <w:rPr>
          <w:sz w:val="24"/>
        </w:rPr>
      </w:pPr>
      <w:r w:rsidRPr="00AC5D0D">
        <w:rPr>
          <w:b/>
          <w:sz w:val="24"/>
        </w:rPr>
        <w:t xml:space="preserve">Implications for the Environment Directors </w:t>
      </w:r>
    </w:p>
    <w:p w14:paraId="523410B7" w14:textId="6E8D0D40" w:rsidR="00067A9E" w:rsidRPr="00D27207" w:rsidRDefault="00067A9E" w:rsidP="00067A9E">
      <w:pPr>
        <w:pStyle w:val="ListParagraph"/>
        <w:tabs>
          <w:tab w:val="left" w:pos="507"/>
        </w:tabs>
        <w:ind w:left="506" w:firstLine="0"/>
        <w:rPr>
          <w:sz w:val="24"/>
        </w:rPr>
      </w:pPr>
      <w:r w:rsidRPr="00D27207">
        <w:rPr>
          <w:sz w:val="24"/>
        </w:rPr>
        <w:t>The programme</w:t>
      </w:r>
      <w:r w:rsidR="00A1467B">
        <w:rPr>
          <w:sz w:val="24"/>
        </w:rPr>
        <w:t>s</w:t>
      </w:r>
      <w:r w:rsidRPr="00D27207">
        <w:rPr>
          <w:sz w:val="24"/>
        </w:rPr>
        <w:t xml:space="preserve"> </w:t>
      </w:r>
      <w:r w:rsidR="00A1467B">
        <w:rPr>
          <w:sz w:val="24"/>
        </w:rPr>
        <w:t>are</w:t>
      </w:r>
      <w:r w:rsidRPr="00D27207">
        <w:rPr>
          <w:sz w:val="24"/>
        </w:rPr>
        <w:t xml:space="preserve"> </w:t>
      </w:r>
      <w:r>
        <w:rPr>
          <w:sz w:val="24"/>
        </w:rPr>
        <w:t>a key element in delivering</w:t>
      </w:r>
      <w:r w:rsidRPr="00D27207">
        <w:rPr>
          <w:sz w:val="24"/>
        </w:rPr>
        <w:t xml:space="preserve"> the Environment Directors priorities in the next two year</w:t>
      </w:r>
      <w:r>
        <w:rPr>
          <w:sz w:val="24"/>
        </w:rPr>
        <w:t>s</w:t>
      </w:r>
      <w:r w:rsidRPr="00D27207">
        <w:rPr>
          <w:sz w:val="24"/>
        </w:rPr>
        <w:t>. The four priorities are shown below, supported by examples:</w:t>
      </w:r>
    </w:p>
    <w:p w14:paraId="2FDF2E9F" w14:textId="4B836C22" w:rsidR="00D27207" w:rsidRPr="00067A9E" w:rsidRDefault="00067A9E" w:rsidP="00067A9E">
      <w:pPr>
        <w:pStyle w:val="ListParagraph"/>
        <w:tabs>
          <w:tab w:val="left" w:pos="507"/>
        </w:tabs>
        <w:spacing w:before="121"/>
        <w:ind w:left="360" w:right="224" w:firstLine="0"/>
        <w:rPr>
          <w:sz w:val="24"/>
        </w:rPr>
      </w:pPr>
      <w:r>
        <w:rPr>
          <w:noProof/>
          <w:sz w:val="24"/>
          <w:lang w:eastAsia="en-GB"/>
        </w:rPr>
        <w:drawing>
          <wp:inline distT="0" distB="0" distL="0" distR="0" wp14:anchorId="31005796" wp14:editId="454E868B">
            <wp:extent cx="6737230" cy="2237994"/>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42445" cy="2239726"/>
                    </a:xfrm>
                    <a:prstGeom prst="rect">
                      <a:avLst/>
                    </a:prstGeom>
                    <a:noFill/>
                  </pic:spPr>
                </pic:pic>
              </a:graphicData>
            </a:graphic>
          </wp:inline>
        </w:drawing>
      </w:r>
    </w:p>
    <w:p w14:paraId="5562CE08" w14:textId="47AA6F47" w:rsidR="00067A9E" w:rsidRPr="00067A9E" w:rsidRDefault="00067A9E" w:rsidP="00067A9E">
      <w:pPr>
        <w:pStyle w:val="ListParagraph"/>
        <w:tabs>
          <w:tab w:val="left" w:pos="507"/>
        </w:tabs>
        <w:ind w:left="506" w:firstLine="0"/>
        <w:rPr>
          <w:sz w:val="24"/>
        </w:rPr>
      </w:pPr>
      <w:r>
        <w:rPr>
          <w:sz w:val="24"/>
        </w:rPr>
        <w:t>Key areas include behaviour change, data gathering, resilience and skills, social value evaluation and future proofing the system.</w:t>
      </w:r>
    </w:p>
    <w:p w14:paraId="58299F1E" w14:textId="708C6746" w:rsidR="0082498B" w:rsidRPr="009E4459" w:rsidRDefault="00053B29">
      <w:pPr>
        <w:pStyle w:val="ListParagraph"/>
        <w:numPr>
          <w:ilvl w:val="0"/>
          <w:numId w:val="4"/>
        </w:numPr>
        <w:tabs>
          <w:tab w:val="left" w:pos="507"/>
        </w:tabs>
        <w:ind w:left="506" w:hanging="361"/>
        <w:rPr>
          <w:sz w:val="24"/>
        </w:rPr>
      </w:pPr>
      <w:r w:rsidRPr="009E4459">
        <w:rPr>
          <w:b/>
          <w:sz w:val="24"/>
        </w:rPr>
        <w:t>Joint</w:t>
      </w:r>
      <w:r w:rsidRPr="009E4459">
        <w:rPr>
          <w:b/>
          <w:spacing w:val="-2"/>
          <w:sz w:val="24"/>
        </w:rPr>
        <w:t xml:space="preserve"> </w:t>
      </w:r>
      <w:r w:rsidRPr="009E4459">
        <w:rPr>
          <w:b/>
          <w:sz w:val="24"/>
        </w:rPr>
        <w:t>Waste</w:t>
      </w:r>
      <w:r w:rsidRPr="009E4459">
        <w:rPr>
          <w:b/>
          <w:spacing w:val="-1"/>
          <w:sz w:val="24"/>
        </w:rPr>
        <w:t xml:space="preserve"> </w:t>
      </w:r>
      <w:r w:rsidRPr="009E4459">
        <w:rPr>
          <w:b/>
          <w:sz w:val="24"/>
        </w:rPr>
        <w:t>Management</w:t>
      </w:r>
      <w:r w:rsidRPr="009E4459">
        <w:rPr>
          <w:b/>
          <w:spacing w:val="-3"/>
          <w:sz w:val="24"/>
        </w:rPr>
        <w:t xml:space="preserve"> </w:t>
      </w:r>
      <w:r w:rsidRPr="009E4459">
        <w:rPr>
          <w:b/>
          <w:sz w:val="24"/>
        </w:rPr>
        <w:t>Strategy</w:t>
      </w:r>
    </w:p>
    <w:p w14:paraId="58CCFDA2" w14:textId="7142C6A7" w:rsidR="00D27207" w:rsidRDefault="00C2081D" w:rsidP="00D27207">
      <w:pPr>
        <w:pStyle w:val="ListParagraph"/>
        <w:tabs>
          <w:tab w:val="left" w:pos="507"/>
        </w:tabs>
        <w:ind w:left="426" w:right="220" w:firstLine="0"/>
        <w:rPr>
          <w:bCs/>
          <w:sz w:val="24"/>
        </w:rPr>
      </w:pPr>
      <w:r w:rsidRPr="00D27207">
        <w:rPr>
          <w:bCs/>
          <w:sz w:val="24"/>
        </w:rPr>
        <w:t xml:space="preserve">A key factor </w:t>
      </w:r>
      <w:r w:rsidR="00C6713B">
        <w:rPr>
          <w:bCs/>
          <w:sz w:val="24"/>
        </w:rPr>
        <w:t>i</w:t>
      </w:r>
      <w:r w:rsidRPr="00D27207">
        <w:rPr>
          <w:bCs/>
          <w:sz w:val="24"/>
        </w:rPr>
        <w:t>n the Joint Waste Management Strategy is the 65%</w:t>
      </w:r>
      <w:r w:rsidR="00C6713B">
        <w:rPr>
          <w:bCs/>
          <w:sz w:val="24"/>
        </w:rPr>
        <w:t xml:space="preserve"> recycling target.</w:t>
      </w:r>
      <w:r w:rsidRPr="00D27207">
        <w:rPr>
          <w:bCs/>
          <w:sz w:val="24"/>
        </w:rPr>
        <w:t xml:space="preserve"> </w:t>
      </w:r>
      <w:r w:rsidR="00C6713B">
        <w:rPr>
          <w:bCs/>
          <w:sz w:val="24"/>
        </w:rPr>
        <w:t>To meet this a</w:t>
      </w:r>
      <w:r w:rsidR="00D27207" w:rsidRPr="00D27207">
        <w:rPr>
          <w:bCs/>
          <w:sz w:val="24"/>
        </w:rPr>
        <w:t xml:space="preserve"> framework of a joint plan for 2030 to be developed by WLWA and Boroughs was agreed in March 2022.  The joint plan must incorporate managing the rising cost of inflation which can only be countered in WLWA by reducing the amount of waste collected.  </w:t>
      </w:r>
    </w:p>
    <w:p w14:paraId="1EDCBD4C" w14:textId="4B2B02DF" w:rsidR="00D27207" w:rsidRPr="00D27207" w:rsidRDefault="00D27207" w:rsidP="00D27207">
      <w:pPr>
        <w:pStyle w:val="ListParagraph"/>
        <w:tabs>
          <w:tab w:val="left" w:pos="507"/>
        </w:tabs>
        <w:ind w:left="426" w:right="220" w:firstLine="0"/>
        <w:rPr>
          <w:bCs/>
          <w:sz w:val="24"/>
        </w:rPr>
      </w:pPr>
      <w:r w:rsidRPr="00D27207">
        <w:rPr>
          <w:bCs/>
          <w:sz w:val="24"/>
        </w:rPr>
        <w:t>It is vital in this year that we</w:t>
      </w:r>
      <w:r>
        <w:rPr>
          <w:bCs/>
          <w:sz w:val="24"/>
        </w:rPr>
        <w:t>:</w:t>
      </w:r>
      <w:r w:rsidRPr="00D27207">
        <w:rPr>
          <w:bCs/>
          <w:sz w:val="24"/>
        </w:rPr>
        <w:t xml:space="preserve"> </w:t>
      </w:r>
    </w:p>
    <w:p w14:paraId="1556BC6B" w14:textId="77777777" w:rsidR="00D27207" w:rsidRPr="00D27207" w:rsidRDefault="00D27207" w:rsidP="00D27207">
      <w:pPr>
        <w:pStyle w:val="ListParagraph"/>
        <w:numPr>
          <w:ilvl w:val="0"/>
          <w:numId w:val="21"/>
        </w:numPr>
        <w:tabs>
          <w:tab w:val="left" w:pos="507"/>
        </w:tabs>
        <w:ind w:right="220"/>
        <w:rPr>
          <w:bCs/>
          <w:sz w:val="24"/>
        </w:rPr>
      </w:pPr>
      <w:r w:rsidRPr="00D27207">
        <w:rPr>
          <w:bCs/>
          <w:sz w:val="24"/>
        </w:rPr>
        <w:t>Increase the proportion of residents using the food waste service and</w:t>
      </w:r>
    </w:p>
    <w:p w14:paraId="3B870400" w14:textId="77777777" w:rsidR="00D27207" w:rsidRPr="00D27207" w:rsidRDefault="00D27207" w:rsidP="00D27207">
      <w:pPr>
        <w:pStyle w:val="ListParagraph"/>
        <w:numPr>
          <w:ilvl w:val="0"/>
          <w:numId w:val="21"/>
        </w:numPr>
        <w:tabs>
          <w:tab w:val="left" w:pos="507"/>
        </w:tabs>
        <w:ind w:right="220"/>
        <w:rPr>
          <w:bCs/>
          <w:sz w:val="24"/>
        </w:rPr>
      </w:pPr>
      <w:r w:rsidRPr="00D27207">
        <w:rPr>
          <w:bCs/>
          <w:sz w:val="24"/>
        </w:rPr>
        <w:t>Prevent waste at source in the recycling centres.</w:t>
      </w:r>
    </w:p>
    <w:p w14:paraId="45B15781" w14:textId="340BCB0B" w:rsidR="00D27207" w:rsidRDefault="00D27207" w:rsidP="00D27207">
      <w:pPr>
        <w:pStyle w:val="ListParagraph"/>
        <w:tabs>
          <w:tab w:val="left" w:pos="507"/>
        </w:tabs>
        <w:ind w:left="426" w:right="220" w:firstLine="0"/>
        <w:rPr>
          <w:bCs/>
          <w:sz w:val="24"/>
        </w:rPr>
      </w:pPr>
      <w:r w:rsidRPr="00D27207">
        <w:rPr>
          <w:bCs/>
          <w:sz w:val="24"/>
        </w:rPr>
        <w:t>The agreed framework is shown below:</w:t>
      </w:r>
    </w:p>
    <w:p w14:paraId="43792702" w14:textId="1A39054E" w:rsidR="00D27207" w:rsidRPr="00D27207" w:rsidRDefault="00D27207" w:rsidP="00067A9E">
      <w:pPr>
        <w:pStyle w:val="ListParagraph"/>
        <w:tabs>
          <w:tab w:val="left" w:pos="507"/>
        </w:tabs>
        <w:ind w:left="426" w:right="220" w:firstLine="0"/>
        <w:jc w:val="center"/>
        <w:rPr>
          <w:bCs/>
          <w:sz w:val="24"/>
        </w:rPr>
      </w:pPr>
      <w:r>
        <w:rPr>
          <w:b/>
          <w:noProof/>
          <w:szCs w:val="24"/>
          <w:lang w:eastAsia="en-GB"/>
        </w:rPr>
        <w:lastRenderedPageBreak/>
        <w:drawing>
          <wp:inline distT="0" distB="0" distL="0" distR="0" wp14:anchorId="188D2E12" wp14:editId="7B2D2CDF">
            <wp:extent cx="5719313" cy="3426498"/>
            <wp:effectExtent l="0" t="0" r="0" b="254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43554" cy="3441021"/>
                    </a:xfrm>
                    <a:prstGeom prst="rect">
                      <a:avLst/>
                    </a:prstGeom>
                    <a:noFill/>
                  </pic:spPr>
                </pic:pic>
              </a:graphicData>
            </a:graphic>
          </wp:inline>
        </w:drawing>
      </w:r>
    </w:p>
    <w:p w14:paraId="4FCA1FDC" w14:textId="56459686" w:rsidR="0082498B" w:rsidRDefault="00053B29" w:rsidP="00D27207">
      <w:pPr>
        <w:pStyle w:val="ListParagraph"/>
        <w:tabs>
          <w:tab w:val="left" w:pos="507"/>
        </w:tabs>
        <w:ind w:left="426" w:right="220" w:firstLine="0"/>
        <w:rPr>
          <w:bCs/>
          <w:sz w:val="24"/>
        </w:rPr>
      </w:pPr>
      <w:r w:rsidRPr="00D27207">
        <w:rPr>
          <w:bCs/>
          <w:sz w:val="24"/>
        </w:rPr>
        <w:t xml:space="preserve">The </w:t>
      </w:r>
      <w:r w:rsidR="00437A5A" w:rsidRPr="00D27207">
        <w:rPr>
          <w:bCs/>
          <w:sz w:val="24"/>
        </w:rPr>
        <w:t>programme</w:t>
      </w:r>
      <w:r w:rsidR="00651CFE">
        <w:rPr>
          <w:bCs/>
          <w:sz w:val="24"/>
        </w:rPr>
        <w:t>s</w:t>
      </w:r>
      <w:r w:rsidRPr="00D27207">
        <w:rPr>
          <w:bCs/>
          <w:sz w:val="24"/>
        </w:rPr>
        <w:t xml:space="preserve"> </w:t>
      </w:r>
      <w:r w:rsidR="00651CFE">
        <w:rPr>
          <w:bCs/>
          <w:sz w:val="24"/>
        </w:rPr>
        <w:t>are</w:t>
      </w:r>
      <w:r w:rsidR="004B30C6" w:rsidRPr="00D27207">
        <w:rPr>
          <w:bCs/>
          <w:sz w:val="24"/>
        </w:rPr>
        <w:t xml:space="preserve"> intri</w:t>
      </w:r>
      <w:r w:rsidRPr="00D27207">
        <w:rPr>
          <w:bCs/>
          <w:sz w:val="24"/>
        </w:rPr>
        <w:t xml:space="preserve">nsically linked to the Authority’s Joint Waste </w:t>
      </w:r>
      <w:r w:rsidR="004B30C6" w:rsidRPr="00D27207">
        <w:rPr>
          <w:bCs/>
          <w:sz w:val="24"/>
        </w:rPr>
        <w:t>Management Strategy</w:t>
      </w:r>
      <w:r w:rsidR="00403BCA" w:rsidRPr="00D27207">
        <w:rPr>
          <w:bCs/>
          <w:sz w:val="24"/>
        </w:rPr>
        <w:t xml:space="preserve"> and Business Plan</w:t>
      </w:r>
      <w:r w:rsidRPr="00D27207">
        <w:rPr>
          <w:bCs/>
          <w:sz w:val="24"/>
        </w:rPr>
        <w:t xml:space="preserve">. The projects are driving the design of the new </w:t>
      </w:r>
      <w:r w:rsidR="003546A6" w:rsidRPr="00D27207">
        <w:rPr>
          <w:bCs/>
          <w:sz w:val="24"/>
        </w:rPr>
        <w:t>policies</w:t>
      </w:r>
      <w:r w:rsidR="004B30C6" w:rsidRPr="00D27207">
        <w:rPr>
          <w:bCs/>
          <w:sz w:val="24"/>
        </w:rPr>
        <w:t xml:space="preserve"> and programmes</w:t>
      </w:r>
      <w:r w:rsidRPr="00D27207">
        <w:rPr>
          <w:bCs/>
          <w:sz w:val="24"/>
        </w:rPr>
        <w:t xml:space="preserve"> through data, best practice and identification of opportunities</w:t>
      </w:r>
      <w:r w:rsidR="00A87979" w:rsidRPr="00D27207">
        <w:rPr>
          <w:bCs/>
          <w:sz w:val="24"/>
        </w:rPr>
        <w:t>,</w:t>
      </w:r>
      <w:r w:rsidRPr="00D27207">
        <w:rPr>
          <w:bCs/>
          <w:sz w:val="24"/>
        </w:rPr>
        <w:t xml:space="preserve"> as well as delivering change to meet the desired outcomes and targets </w:t>
      </w:r>
      <w:r w:rsidR="00403BCA" w:rsidRPr="00D27207">
        <w:rPr>
          <w:bCs/>
          <w:sz w:val="24"/>
        </w:rPr>
        <w:t xml:space="preserve">in the </w:t>
      </w:r>
      <w:r w:rsidRPr="00D27207">
        <w:rPr>
          <w:bCs/>
          <w:sz w:val="24"/>
        </w:rPr>
        <w:t>Strategy</w:t>
      </w:r>
      <w:r w:rsidR="00403BCA" w:rsidRPr="00D27207">
        <w:rPr>
          <w:bCs/>
          <w:sz w:val="24"/>
        </w:rPr>
        <w:t xml:space="preserve"> and the proposed Budget</w:t>
      </w:r>
      <w:r w:rsidRPr="00D27207">
        <w:rPr>
          <w:bCs/>
          <w:sz w:val="24"/>
        </w:rPr>
        <w:t>.</w:t>
      </w:r>
    </w:p>
    <w:p w14:paraId="58C8B699" w14:textId="00DDA13B" w:rsidR="00E04B42" w:rsidRPr="00E04B42" w:rsidRDefault="00E04B42" w:rsidP="00E04B42">
      <w:pPr>
        <w:pStyle w:val="ListParagraph"/>
        <w:numPr>
          <w:ilvl w:val="0"/>
          <w:numId w:val="4"/>
        </w:numPr>
        <w:tabs>
          <w:tab w:val="left" w:pos="507"/>
        </w:tabs>
        <w:ind w:left="506" w:hanging="361"/>
        <w:rPr>
          <w:b/>
          <w:sz w:val="24"/>
        </w:rPr>
      </w:pPr>
      <w:r w:rsidRPr="00E04B42">
        <w:rPr>
          <w:b/>
          <w:sz w:val="24"/>
        </w:rPr>
        <w:t xml:space="preserve">Impact on statutory, national and London targets </w:t>
      </w:r>
    </w:p>
    <w:p w14:paraId="2711FE99" w14:textId="4DFEDB27" w:rsidR="00E04B42" w:rsidRPr="004A7478" w:rsidRDefault="00E04B42" w:rsidP="00E04B42">
      <w:pPr>
        <w:adjustRightInd w:val="0"/>
        <w:spacing w:after="120"/>
        <w:ind w:left="170"/>
        <w:rPr>
          <w:szCs w:val="24"/>
        </w:rPr>
      </w:pPr>
      <w:r>
        <w:rPr>
          <w:bCs/>
          <w:szCs w:val="24"/>
          <w:lang w:eastAsia="en-GB"/>
        </w:rPr>
        <w:t>Improvements in capturing greater volumes of target materials helps towards</w:t>
      </w:r>
      <w:r w:rsidRPr="001746A9">
        <w:rPr>
          <w:bCs/>
          <w:szCs w:val="24"/>
          <w:lang w:eastAsia="en-GB"/>
        </w:rPr>
        <w:t xml:space="preserve"> the target</w:t>
      </w:r>
      <w:r>
        <w:rPr>
          <w:bCs/>
          <w:szCs w:val="24"/>
          <w:lang w:eastAsia="en-GB"/>
        </w:rPr>
        <w:t xml:space="preserve"> of</w:t>
      </w:r>
      <w:r w:rsidRPr="001746A9">
        <w:rPr>
          <w:bCs/>
          <w:szCs w:val="24"/>
          <w:lang w:eastAsia="en-GB"/>
        </w:rPr>
        <w:t xml:space="preserve"> 65% recycling by 2035 (2030 in London).</w:t>
      </w:r>
    </w:p>
    <w:p w14:paraId="1A5D0014" w14:textId="77777777" w:rsidR="005A2E9C" w:rsidRPr="00E04B42" w:rsidRDefault="005A2E9C" w:rsidP="00E04B42">
      <w:pPr>
        <w:tabs>
          <w:tab w:val="left" w:pos="507"/>
        </w:tabs>
        <w:spacing w:before="121"/>
        <w:ind w:right="224"/>
        <w:rPr>
          <w:sz w:val="24"/>
        </w:rPr>
      </w:pPr>
    </w:p>
    <w:p w14:paraId="18350C39" w14:textId="77777777" w:rsidR="0082498B" w:rsidRDefault="0082498B">
      <w:pPr>
        <w:pStyle w:val="BodyText"/>
        <w:spacing w:before="7"/>
        <w:rPr>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7941"/>
      </w:tblGrid>
      <w:tr w:rsidR="0082498B" w:rsidRPr="00437A5A" w14:paraId="67380D2B" w14:textId="77777777" w:rsidTr="00437A5A">
        <w:trPr>
          <w:trHeight w:val="416"/>
        </w:trPr>
        <w:tc>
          <w:tcPr>
            <w:tcW w:w="2410" w:type="dxa"/>
          </w:tcPr>
          <w:p w14:paraId="46229D41" w14:textId="77777777" w:rsidR="0082498B" w:rsidRPr="00437A5A" w:rsidRDefault="00053B29">
            <w:pPr>
              <w:pStyle w:val="TableParagraph"/>
              <w:spacing w:before="118"/>
              <w:ind w:left="107"/>
              <w:rPr>
                <w:rFonts w:ascii="Arial"/>
              </w:rPr>
            </w:pPr>
            <w:r w:rsidRPr="00437A5A">
              <w:rPr>
                <w:rFonts w:ascii="Arial"/>
              </w:rPr>
              <w:t>Contact</w:t>
            </w:r>
            <w:r w:rsidRPr="00437A5A">
              <w:rPr>
                <w:rFonts w:ascii="Arial"/>
                <w:spacing w:val="-1"/>
              </w:rPr>
              <w:t xml:space="preserve"> </w:t>
            </w:r>
            <w:r w:rsidRPr="00437A5A">
              <w:rPr>
                <w:rFonts w:ascii="Arial"/>
              </w:rPr>
              <w:t>Officers</w:t>
            </w:r>
          </w:p>
        </w:tc>
        <w:tc>
          <w:tcPr>
            <w:tcW w:w="7941" w:type="dxa"/>
          </w:tcPr>
          <w:p w14:paraId="38F7A972" w14:textId="0048993F" w:rsidR="0082498B" w:rsidRPr="00437A5A" w:rsidRDefault="00053B29">
            <w:pPr>
              <w:pStyle w:val="TableParagraph"/>
              <w:tabs>
                <w:tab w:val="right" w:pos="6687"/>
              </w:tabs>
              <w:spacing w:line="274" w:lineRule="exact"/>
              <w:ind w:left="107"/>
              <w:rPr>
                <w:rFonts w:ascii="Arial"/>
              </w:rPr>
            </w:pPr>
            <w:r w:rsidRPr="00437A5A">
              <w:rPr>
                <w:rFonts w:ascii="Arial"/>
              </w:rPr>
              <w:t>Peter</w:t>
            </w:r>
            <w:r w:rsidRPr="00437A5A">
              <w:rPr>
                <w:rFonts w:ascii="Arial"/>
                <w:spacing w:val="-4"/>
              </w:rPr>
              <w:t xml:space="preserve"> </w:t>
            </w:r>
            <w:r w:rsidRPr="00437A5A">
              <w:rPr>
                <w:rFonts w:ascii="Arial"/>
              </w:rPr>
              <w:t>Tilston, Projects</w:t>
            </w:r>
            <w:r w:rsidRPr="00437A5A">
              <w:rPr>
                <w:rFonts w:ascii="Arial"/>
                <w:spacing w:val="-2"/>
              </w:rPr>
              <w:t xml:space="preserve"> </w:t>
            </w:r>
            <w:r w:rsidRPr="00437A5A">
              <w:rPr>
                <w:rFonts w:ascii="Arial"/>
              </w:rPr>
              <w:t>Director</w:t>
            </w:r>
            <w:r w:rsidR="00125936" w:rsidRPr="00437A5A">
              <w:rPr>
                <w:rFonts w:ascii="Arial"/>
              </w:rPr>
              <w:t xml:space="preserve">                            07796 271 713</w:t>
            </w:r>
          </w:p>
          <w:p w14:paraId="102C444C" w14:textId="71CAAAD4" w:rsidR="0082498B" w:rsidRPr="00437A5A" w:rsidRDefault="003A15C9">
            <w:pPr>
              <w:pStyle w:val="TableParagraph"/>
              <w:ind w:left="107"/>
              <w:rPr>
                <w:rFonts w:ascii="Arial"/>
                <w:color w:val="0000FF"/>
                <w:u w:val="single" w:color="0000FF"/>
              </w:rPr>
            </w:pPr>
            <w:hyperlink r:id="rId17">
              <w:r w:rsidR="00053B29" w:rsidRPr="00437A5A">
                <w:rPr>
                  <w:rFonts w:ascii="Arial"/>
                  <w:color w:val="0000FF"/>
                  <w:u w:val="single" w:color="0000FF"/>
                </w:rPr>
                <w:t>petertilston@westlondonwaste.gov.uk</w:t>
              </w:r>
            </w:hyperlink>
          </w:p>
          <w:p w14:paraId="07086847" w14:textId="77777777" w:rsidR="00A87979" w:rsidRPr="00437A5A" w:rsidRDefault="00A87979">
            <w:pPr>
              <w:pStyle w:val="TableParagraph"/>
              <w:ind w:left="107"/>
              <w:rPr>
                <w:rFonts w:ascii="Arial"/>
              </w:rPr>
            </w:pPr>
          </w:p>
          <w:p w14:paraId="07F1EDAF" w14:textId="3C70399D" w:rsidR="0082498B" w:rsidRPr="00437A5A" w:rsidRDefault="000B5E6A" w:rsidP="00E55764">
            <w:pPr>
              <w:pStyle w:val="TableParagraph"/>
              <w:ind w:left="107"/>
              <w:rPr>
                <w:rFonts w:ascii="Arial"/>
              </w:rPr>
            </w:pPr>
            <w:r w:rsidRPr="00437A5A">
              <w:rPr>
                <w:rFonts w:ascii="Arial"/>
              </w:rPr>
              <w:tab/>
            </w:r>
          </w:p>
        </w:tc>
      </w:tr>
    </w:tbl>
    <w:p w14:paraId="4C5BCCF9" w14:textId="77777777" w:rsidR="0024303D" w:rsidRDefault="0024303D" w:rsidP="00C2081D">
      <w:pPr>
        <w:spacing w:before="75"/>
        <w:ind w:right="-207"/>
        <w:jc w:val="both"/>
        <w:rPr>
          <w:b/>
          <w:bCs/>
        </w:rPr>
      </w:pPr>
    </w:p>
    <w:p w14:paraId="6F90DE66" w14:textId="544DBA84" w:rsidR="00A1467B" w:rsidRDefault="00A1467B" w:rsidP="00A1467B">
      <w:pPr>
        <w:tabs>
          <w:tab w:val="left" w:pos="2258"/>
        </w:tabs>
      </w:pPr>
    </w:p>
    <w:p w14:paraId="5F155553" w14:textId="6466E012" w:rsidR="00DC0015" w:rsidRDefault="00DC0015" w:rsidP="00A1467B">
      <w:pPr>
        <w:tabs>
          <w:tab w:val="left" w:pos="2258"/>
        </w:tabs>
        <w:rPr>
          <w:noProof/>
        </w:rPr>
      </w:pPr>
    </w:p>
    <w:p w14:paraId="57CA3D36" w14:textId="3B3495B5" w:rsidR="00692513" w:rsidRDefault="00692513">
      <w:r>
        <w:br w:type="page"/>
      </w:r>
    </w:p>
    <w:p w14:paraId="30A5E858" w14:textId="3030D1DE" w:rsidR="00692513" w:rsidRDefault="00692513" w:rsidP="00692513">
      <w:pPr>
        <w:spacing w:line="360" w:lineRule="auto"/>
        <w:jc w:val="both"/>
        <w:rPr>
          <w:rFonts w:asciiTheme="minorHAnsi" w:eastAsiaTheme="minorHAnsi" w:hAnsiTheme="minorHAnsi" w:cstheme="minorBidi"/>
          <w:b/>
          <w:bCs/>
        </w:rPr>
      </w:pPr>
      <w:r>
        <w:rPr>
          <w:b/>
          <w:bCs/>
          <w:sz w:val="24"/>
          <w:szCs w:val="24"/>
        </w:rPr>
        <w:lastRenderedPageBreak/>
        <w:t>Appendix 1</w:t>
      </w:r>
      <w:r>
        <w:rPr>
          <w:b/>
          <w:bCs/>
        </w:rPr>
        <w:t xml:space="preserve"> – WLWA average waste composition</w:t>
      </w:r>
    </w:p>
    <w:p w14:paraId="139FB09F" w14:textId="1A77C038" w:rsidR="00692513" w:rsidRDefault="00692513" w:rsidP="00692513">
      <w:pPr>
        <w:spacing w:line="360" w:lineRule="auto"/>
        <w:jc w:val="both"/>
      </w:pPr>
      <w:r>
        <w:rPr>
          <w:noProof/>
        </w:rPr>
        <mc:AlternateContent>
          <mc:Choice Requires="cx1">
            <w:drawing>
              <wp:inline distT="0" distB="0" distL="0" distR="0" wp14:anchorId="02C6DBA1" wp14:editId="34040D1C">
                <wp:extent cx="6905606" cy="3589655"/>
                <wp:effectExtent l="0" t="0" r="10160" b="10795"/>
                <wp:docPr id="1240749615" name="Chart 9">
                  <a:extLst xmlns:a="http://schemas.openxmlformats.org/drawingml/2006/main">
                    <a:ext uri="{FF2B5EF4-FFF2-40B4-BE49-F238E27FC236}">
                      <a16:creationId xmlns:a16="http://schemas.microsoft.com/office/drawing/2014/main" id="{905F606B-65DF-DFF8-E788-636894B9578C}"/>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8"/>
                  </a:graphicData>
                </a:graphic>
              </wp:inline>
            </w:drawing>
          </mc:Choice>
          <mc:Fallback>
            <w:drawing>
              <wp:inline distT="0" distB="0" distL="0" distR="0" wp14:anchorId="02C6DBA1" wp14:editId="34040D1C">
                <wp:extent cx="6905606" cy="3589655"/>
                <wp:effectExtent l="0" t="0" r="10160" b="10795"/>
                <wp:docPr id="1240749615" name="Chart 9">
                  <a:extLst xmlns:a="http://schemas.openxmlformats.org/drawingml/2006/main">
                    <a:ext uri="{FF2B5EF4-FFF2-40B4-BE49-F238E27FC236}">
                      <a16:creationId xmlns:a16="http://schemas.microsoft.com/office/drawing/2014/main" id="{905F606B-65DF-DFF8-E788-636894B9578C}"/>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240749615" name="Chart 9">
                          <a:extLst>
                            <a:ext uri="{FF2B5EF4-FFF2-40B4-BE49-F238E27FC236}">
                              <a16:creationId xmlns:a16="http://schemas.microsoft.com/office/drawing/2014/main" id="{905F606B-65DF-DFF8-E788-636894B9578C}"/>
                            </a:ext>
                          </a:extLst>
                        </pic:cNvPr>
                        <pic:cNvPicPr>
                          <a:picLocks noGrp="1" noRot="1" noChangeAspect="1" noMove="1" noResize="1" noEditPoints="1" noAdjustHandles="1" noChangeArrowheads="1" noChangeShapeType="1"/>
                        </pic:cNvPicPr>
                      </pic:nvPicPr>
                      <pic:blipFill>
                        <a:blip r:embed="rId23"/>
                        <a:stretch>
                          <a:fillRect/>
                        </a:stretch>
                      </pic:blipFill>
                      <pic:spPr>
                        <a:xfrm>
                          <a:off x="0" y="0"/>
                          <a:ext cx="6904990" cy="3589655"/>
                        </a:xfrm>
                        <a:prstGeom prst="rect">
                          <a:avLst/>
                        </a:prstGeom>
                      </pic:spPr>
                    </pic:pic>
                  </a:graphicData>
                </a:graphic>
              </wp:inline>
            </w:drawing>
          </mc:Fallback>
        </mc:AlternateContent>
      </w:r>
    </w:p>
    <w:p w14:paraId="4205EAE5" w14:textId="3FF54853" w:rsidR="00FA7878" w:rsidRDefault="00FA7878" w:rsidP="00692513">
      <w:pPr>
        <w:spacing w:line="360" w:lineRule="auto"/>
        <w:jc w:val="both"/>
      </w:pPr>
      <w:r>
        <w:t>*NRC (non-recyclable combustible) material is typically composite hard to recycle materials.</w:t>
      </w:r>
    </w:p>
    <w:p w14:paraId="019C267D" w14:textId="5CB9D16C" w:rsidR="00692513" w:rsidRPr="00692513" w:rsidRDefault="00692513" w:rsidP="00692513">
      <w:pPr>
        <w:spacing w:line="360" w:lineRule="auto"/>
      </w:pPr>
      <w:r>
        <w:rPr>
          <w:b/>
          <w:bCs/>
          <w:sz w:val="24"/>
          <w:szCs w:val="24"/>
        </w:rPr>
        <w:t>Appendix</w:t>
      </w:r>
      <w:r>
        <w:rPr>
          <w:b/>
          <w:bCs/>
        </w:rPr>
        <w:t xml:space="preserve"> 2 – Borough capture rates – Food waste</w:t>
      </w:r>
      <w:r>
        <w:t xml:space="preserve"> </w:t>
      </w:r>
      <w:r>
        <w:rPr>
          <w:noProof/>
        </w:rPr>
        <w:drawing>
          <wp:inline distT="0" distB="0" distL="0" distR="0" wp14:anchorId="21E461EB" wp14:editId="70F50B19">
            <wp:extent cx="6977380" cy="4865370"/>
            <wp:effectExtent l="0" t="0" r="0" b="0"/>
            <wp:docPr id="978860305" name="Picture 8" descr="A graph of different colored and black b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graph of different colored and black bars&#10;&#10;Description automatically generated with medium confiden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77380" cy="4865370"/>
                    </a:xfrm>
                    <a:prstGeom prst="rect">
                      <a:avLst/>
                    </a:prstGeom>
                    <a:noFill/>
                    <a:ln>
                      <a:noFill/>
                    </a:ln>
                  </pic:spPr>
                </pic:pic>
              </a:graphicData>
            </a:graphic>
          </wp:inline>
        </w:drawing>
      </w:r>
      <w:r>
        <w:rPr>
          <w:b/>
          <w:bCs/>
          <w:sz w:val="24"/>
          <w:szCs w:val="24"/>
        </w:rPr>
        <w:lastRenderedPageBreak/>
        <w:t>Appendix</w:t>
      </w:r>
      <w:r>
        <w:rPr>
          <w:b/>
          <w:bCs/>
        </w:rPr>
        <w:t xml:space="preserve"> 2 – Borough capture rates – DMR</w:t>
      </w:r>
    </w:p>
    <w:p w14:paraId="5E7D4C2B" w14:textId="04012A87" w:rsidR="00692513" w:rsidRDefault="00692513" w:rsidP="00692513">
      <w:pPr>
        <w:spacing w:line="360" w:lineRule="auto"/>
        <w:jc w:val="center"/>
        <w:rPr>
          <w:sz w:val="24"/>
          <w:szCs w:val="24"/>
        </w:rPr>
      </w:pPr>
      <w:r>
        <w:rPr>
          <w:noProof/>
        </w:rPr>
        <w:drawing>
          <wp:inline distT="0" distB="0" distL="0" distR="0" wp14:anchorId="518D3137" wp14:editId="0133FD2D">
            <wp:extent cx="6745368" cy="4088474"/>
            <wp:effectExtent l="0" t="0" r="0" b="7620"/>
            <wp:docPr id="874335116" name="Picture 7" descr="A graph of different colored b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aph of different colored bars&#10;&#10;Description automatically generated with medium confiden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51986" cy="4092485"/>
                    </a:xfrm>
                    <a:prstGeom prst="rect">
                      <a:avLst/>
                    </a:prstGeom>
                    <a:noFill/>
                    <a:ln>
                      <a:noFill/>
                    </a:ln>
                  </pic:spPr>
                </pic:pic>
              </a:graphicData>
            </a:graphic>
          </wp:inline>
        </w:drawing>
      </w:r>
    </w:p>
    <w:p w14:paraId="38965F44" w14:textId="77777777" w:rsidR="00692513" w:rsidRDefault="00692513" w:rsidP="00692513">
      <w:pPr>
        <w:spacing w:line="360" w:lineRule="auto"/>
        <w:rPr>
          <w:b/>
          <w:bCs/>
          <w:sz w:val="24"/>
          <w:szCs w:val="24"/>
        </w:rPr>
      </w:pPr>
      <w:r>
        <w:rPr>
          <w:b/>
          <w:bCs/>
          <w:sz w:val="24"/>
          <w:szCs w:val="24"/>
        </w:rPr>
        <w:t>Appendix</w:t>
      </w:r>
      <w:r>
        <w:rPr>
          <w:b/>
          <w:bCs/>
        </w:rPr>
        <w:t xml:space="preserve"> 4 – Borough capture rates – Green Waste</w:t>
      </w:r>
    </w:p>
    <w:p w14:paraId="6B600A1B" w14:textId="44DCFDAF" w:rsidR="00191577" w:rsidRPr="00A1467B" w:rsidRDefault="00692513" w:rsidP="00A1467B">
      <w:pPr>
        <w:tabs>
          <w:tab w:val="left" w:pos="2258"/>
        </w:tabs>
      </w:pPr>
      <w:r>
        <w:rPr>
          <w:noProof/>
        </w:rPr>
        <w:drawing>
          <wp:inline distT="0" distB="0" distL="0" distR="0" wp14:anchorId="6CFD0C4C" wp14:editId="49ECBBFC">
            <wp:extent cx="6464682" cy="4283705"/>
            <wp:effectExtent l="0" t="0" r="0" b="3175"/>
            <wp:docPr id="192191069" name="Picture 1" descr="A graph of green and black col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91069" name="Picture 1" descr="A graph of green and black color&#10;&#10;Description automatically generated"/>
                    <pic:cNvPicPr>
                      <a:picLocks noChangeAspect="1"/>
                    </pic:cNvPicPr>
                  </pic:nvPicPr>
                  <pic:blipFill>
                    <a:blip r:embed="rId26"/>
                    <a:stretch>
                      <a:fillRect/>
                    </a:stretch>
                  </pic:blipFill>
                  <pic:spPr>
                    <a:xfrm>
                      <a:off x="0" y="0"/>
                      <a:ext cx="6474031" cy="4289900"/>
                    </a:xfrm>
                    <a:prstGeom prst="rect">
                      <a:avLst/>
                    </a:prstGeom>
                  </pic:spPr>
                </pic:pic>
              </a:graphicData>
            </a:graphic>
          </wp:inline>
        </w:drawing>
      </w:r>
    </w:p>
    <w:sectPr w:rsidR="00191577" w:rsidRPr="00A1467B" w:rsidSect="009E1E49">
      <w:pgSz w:w="11906" w:h="16838" w:code="9"/>
      <w:pgMar w:top="993" w:right="459" w:bottom="993" w:left="459"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DB1"/>
    <w:multiLevelType w:val="multilevel"/>
    <w:tmpl w:val="885EEE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B46BEA"/>
    <w:multiLevelType w:val="hybridMultilevel"/>
    <w:tmpl w:val="9FE6AC9C"/>
    <w:lvl w:ilvl="0" w:tplc="4B42A9F0">
      <w:start w:val="1"/>
      <w:numFmt w:val="lowerLetter"/>
      <w:lvlText w:val="%1)"/>
      <w:lvlJc w:val="left"/>
      <w:pPr>
        <w:ind w:left="1037" w:hanging="361"/>
      </w:pPr>
      <w:rPr>
        <w:rFonts w:ascii="Arial" w:eastAsia="Arial" w:hAnsi="Arial" w:cs="Arial" w:hint="default"/>
        <w:b w:val="0"/>
        <w:bCs w:val="0"/>
        <w:i w:val="0"/>
        <w:iCs w:val="0"/>
        <w:w w:val="99"/>
        <w:sz w:val="24"/>
        <w:szCs w:val="24"/>
        <w:lang w:val="en-GB" w:eastAsia="en-US" w:bidi="ar-SA"/>
      </w:rPr>
    </w:lvl>
    <w:lvl w:ilvl="1" w:tplc="0344B8DC">
      <w:numFmt w:val="bullet"/>
      <w:lvlText w:val="•"/>
      <w:lvlJc w:val="left"/>
      <w:pPr>
        <w:ind w:left="2050" w:hanging="361"/>
      </w:pPr>
      <w:rPr>
        <w:rFonts w:hint="default"/>
        <w:lang w:val="en-GB" w:eastAsia="en-US" w:bidi="ar-SA"/>
      </w:rPr>
    </w:lvl>
    <w:lvl w:ilvl="2" w:tplc="55E469A2">
      <w:numFmt w:val="bullet"/>
      <w:lvlText w:val="•"/>
      <w:lvlJc w:val="left"/>
      <w:pPr>
        <w:ind w:left="3061" w:hanging="361"/>
      </w:pPr>
      <w:rPr>
        <w:rFonts w:hint="default"/>
        <w:lang w:val="en-GB" w:eastAsia="en-US" w:bidi="ar-SA"/>
      </w:rPr>
    </w:lvl>
    <w:lvl w:ilvl="3" w:tplc="F1AE447C">
      <w:numFmt w:val="bullet"/>
      <w:lvlText w:val="•"/>
      <w:lvlJc w:val="left"/>
      <w:pPr>
        <w:ind w:left="4071" w:hanging="361"/>
      </w:pPr>
      <w:rPr>
        <w:rFonts w:hint="default"/>
        <w:lang w:val="en-GB" w:eastAsia="en-US" w:bidi="ar-SA"/>
      </w:rPr>
    </w:lvl>
    <w:lvl w:ilvl="4" w:tplc="AD58AF46">
      <w:numFmt w:val="bullet"/>
      <w:lvlText w:val="•"/>
      <w:lvlJc w:val="left"/>
      <w:pPr>
        <w:ind w:left="5082" w:hanging="361"/>
      </w:pPr>
      <w:rPr>
        <w:rFonts w:hint="default"/>
        <w:lang w:val="en-GB" w:eastAsia="en-US" w:bidi="ar-SA"/>
      </w:rPr>
    </w:lvl>
    <w:lvl w:ilvl="5" w:tplc="A89AB4C6">
      <w:numFmt w:val="bullet"/>
      <w:lvlText w:val="•"/>
      <w:lvlJc w:val="left"/>
      <w:pPr>
        <w:ind w:left="6093" w:hanging="361"/>
      </w:pPr>
      <w:rPr>
        <w:rFonts w:hint="default"/>
        <w:lang w:val="en-GB" w:eastAsia="en-US" w:bidi="ar-SA"/>
      </w:rPr>
    </w:lvl>
    <w:lvl w:ilvl="6" w:tplc="7D780156">
      <w:numFmt w:val="bullet"/>
      <w:lvlText w:val="•"/>
      <w:lvlJc w:val="left"/>
      <w:pPr>
        <w:ind w:left="7103" w:hanging="361"/>
      </w:pPr>
      <w:rPr>
        <w:rFonts w:hint="default"/>
        <w:lang w:val="en-GB" w:eastAsia="en-US" w:bidi="ar-SA"/>
      </w:rPr>
    </w:lvl>
    <w:lvl w:ilvl="7" w:tplc="812AC74C">
      <w:numFmt w:val="bullet"/>
      <w:lvlText w:val="•"/>
      <w:lvlJc w:val="left"/>
      <w:pPr>
        <w:ind w:left="8114" w:hanging="361"/>
      </w:pPr>
      <w:rPr>
        <w:rFonts w:hint="default"/>
        <w:lang w:val="en-GB" w:eastAsia="en-US" w:bidi="ar-SA"/>
      </w:rPr>
    </w:lvl>
    <w:lvl w:ilvl="8" w:tplc="3154AC06">
      <w:numFmt w:val="bullet"/>
      <w:lvlText w:val="•"/>
      <w:lvlJc w:val="left"/>
      <w:pPr>
        <w:ind w:left="9125" w:hanging="361"/>
      </w:pPr>
      <w:rPr>
        <w:rFonts w:hint="default"/>
        <w:lang w:val="en-GB" w:eastAsia="en-US" w:bidi="ar-SA"/>
      </w:rPr>
    </w:lvl>
  </w:abstractNum>
  <w:abstractNum w:abstractNumId="2" w15:restartNumberingAfterBreak="0">
    <w:nsid w:val="0B480714"/>
    <w:multiLevelType w:val="multilevel"/>
    <w:tmpl w:val="0809001F"/>
    <w:lvl w:ilvl="0">
      <w:start w:val="1"/>
      <w:numFmt w:val="decimal"/>
      <w:lvlText w:val="%1."/>
      <w:lvlJc w:val="left"/>
      <w:pPr>
        <w:ind w:left="360" w:hanging="360"/>
      </w:pPr>
      <w:rPr>
        <w:rFonts w:hint="default"/>
        <w:w w:val="100"/>
        <w:lang w:val="en-GB" w:eastAsia="en-US" w:bidi="ar-SA"/>
      </w:rPr>
    </w:lvl>
    <w:lvl w:ilvl="1">
      <w:start w:val="1"/>
      <w:numFmt w:val="decimal"/>
      <w:lvlText w:val="%1.%2."/>
      <w:lvlJc w:val="left"/>
      <w:pPr>
        <w:ind w:left="792" w:hanging="432"/>
      </w:pPr>
      <w:rPr>
        <w:rFonts w:hint="default"/>
        <w:b w:val="0"/>
        <w:bCs w:val="0"/>
        <w:i w:val="0"/>
        <w:iCs w:val="0"/>
        <w:w w:val="100"/>
        <w:sz w:val="24"/>
        <w:szCs w:val="24"/>
        <w:lang w:val="en-GB" w:eastAsia="en-US" w:bidi="ar-SA"/>
      </w:rPr>
    </w:lvl>
    <w:lvl w:ilvl="2">
      <w:start w:val="1"/>
      <w:numFmt w:val="decimal"/>
      <w:lvlText w:val="%1.%2.%3."/>
      <w:lvlJc w:val="left"/>
      <w:pPr>
        <w:ind w:left="1224" w:hanging="504"/>
      </w:pPr>
      <w:rPr>
        <w:rFonts w:hint="default"/>
        <w:lang w:val="en-GB" w:eastAsia="en-US" w:bidi="ar-SA"/>
      </w:rPr>
    </w:lvl>
    <w:lvl w:ilvl="3">
      <w:start w:val="1"/>
      <w:numFmt w:val="decimal"/>
      <w:lvlText w:val="%1.%2.%3.%4."/>
      <w:lvlJc w:val="left"/>
      <w:pPr>
        <w:ind w:left="1728" w:hanging="648"/>
      </w:pPr>
      <w:rPr>
        <w:rFonts w:hint="default"/>
        <w:lang w:val="en-GB" w:eastAsia="en-US" w:bidi="ar-SA"/>
      </w:rPr>
    </w:lvl>
    <w:lvl w:ilvl="4">
      <w:start w:val="1"/>
      <w:numFmt w:val="decimal"/>
      <w:lvlText w:val="%1.%2.%3.%4.%5."/>
      <w:lvlJc w:val="left"/>
      <w:pPr>
        <w:ind w:left="2232" w:hanging="792"/>
      </w:pPr>
      <w:rPr>
        <w:rFonts w:hint="default"/>
        <w:lang w:val="en-GB" w:eastAsia="en-US" w:bidi="ar-SA"/>
      </w:rPr>
    </w:lvl>
    <w:lvl w:ilvl="5">
      <w:start w:val="1"/>
      <w:numFmt w:val="decimal"/>
      <w:lvlText w:val="%1.%2.%3.%4.%5.%6."/>
      <w:lvlJc w:val="left"/>
      <w:pPr>
        <w:ind w:left="2736" w:hanging="936"/>
      </w:pPr>
      <w:rPr>
        <w:rFonts w:hint="default"/>
        <w:lang w:val="en-GB" w:eastAsia="en-US" w:bidi="ar-SA"/>
      </w:rPr>
    </w:lvl>
    <w:lvl w:ilvl="6">
      <w:start w:val="1"/>
      <w:numFmt w:val="decimal"/>
      <w:lvlText w:val="%1.%2.%3.%4.%5.%6.%7."/>
      <w:lvlJc w:val="left"/>
      <w:pPr>
        <w:ind w:left="3240" w:hanging="1080"/>
      </w:pPr>
      <w:rPr>
        <w:rFonts w:hint="default"/>
        <w:lang w:val="en-GB" w:eastAsia="en-US" w:bidi="ar-SA"/>
      </w:rPr>
    </w:lvl>
    <w:lvl w:ilvl="7">
      <w:start w:val="1"/>
      <w:numFmt w:val="decimal"/>
      <w:lvlText w:val="%1.%2.%3.%4.%5.%6.%7.%8."/>
      <w:lvlJc w:val="left"/>
      <w:pPr>
        <w:ind w:left="3744" w:hanging="1224"/>
      </w:pPr>
      <w:rPr>
        <w:rFonts w:hint="default"/>
        <w:lang w:val="en-GB" w:eastAsia="en-US" w:bidi="ar-SA"/>
      </w:rPr>
    </w:lvl>
    <w:lvl w:ilvl="8">
      <w:start w:val="1"/>
      <w:numFmt w:val="decimal"/>
      <w:lvlText w:val="%1.%2.%3.%4.%5.%6.%7.%8.%9."/>
      <w:lvlJc w:val="left"/>
      <w:pPr>
        <w:ind w:left="4320" w:hanging="1440"/>
      </w:pPr>
      <w:rPr>
        <w:rFonts w:hint="default"/>
        <w:lang w:val="en-GB" w:eastAsia="en-US" w:bidi="ar-SA"/>
      </w:rPr>
    </w:lvl>
  </w:abstractNum>
  <w:abstractNum w:abstractNumId="3" w15:restartNumberingAfterBreak="0">
    <w:nsid w:val="0DC44A61"/>
    <w:multiLevelType w:val="hybridMultilevel"/>
    <w:tmpl w:val="82D2302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 w15:restartNumberingAfterBreak="0">
    <w:nsid w:val="0EF622A3"/>
    <w:multiLevelType w:val="hybridMultilevel"/>
    <w:tmpl w:val="F3E662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C54CAF"/>
    <w:multiLevelType w:val="hybridMultilevel"/>
    <w:tmpl w:val="1FE637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36E061B"/>
    <w:multiLevelType w:val="hybridMultilevel"/>
    <w:tmpl w:val="D408E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34324"/>
    <w:multiLevelType w:val="hybridMultilevel"/>
    <w:tmpl w:val="E24AE3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766FD3"/>
    <w:multiLevelType w:val="multilevel"/>
    <w:tmpl w:val="121AB716"/>
    <w:lvl w:ilvl="0">
      <w:start w:val="2"/>
      <w:numFmt w:val="decimal"/>
      <w:lvlText w:val="%1."/>
      <w:lvlJc w:val="left"/>
      <w:pPr>
        <w:tabs>
          <w:tab w:val="num" w:pos="360"/>
        </w:tabs>
        <w:ind w:left="170" w:hanging="170"/>
      </w:pPr>
      <w:rPr>
        <w:rFonts w:ascii="Arial" w:hAnsi="Arial" w:cs="Arial" w:hint="default"/>
        <w:b w:val="0"/>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1B1D6359"/>
    <w:multiLevelType w:val="multilevel"/>
    <w:tmpl w:val="4E8249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F26B0B"/>
    <w:multiLevelType w:val="hybridMultilevel"/>
    <w:tmpl w:val="C6B6B5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F895F6B"/>
    <w:multiLevelType w:val="hybridMultilevel"/>
    <w:tmpl w:val="C28E6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F2ACC"/>
    <w:multiLevelType w:val="hybridMultilevel"/>
    <w:tmpl w:val="0770ACB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3CA542C7"/>
    <w:multiLevelType w:val="multilevel"/>
    <w:tmpl w:val="34761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D97575"/>
    <w:multiLevelType w:val="hybridMultilevel"/>
    <w:tmpl w:val="AFAE15E8"/>
    <w:lvl w:ilvl="0" w:tplc="08090001">
      <w:start w:val="1"/>
      <w:numFmt w:val="bullet"/>
      <w:lvlText w:val=""/>
      <w:lvlJc w:val="left"/>
      <w:pPr>
        <w:ind w:left="996" w:hanging="360"/>
      </w:pPr>
      <w:rPr>
        <w:rFonts w:ascii="Symbol" w:hAnsi="Symbol" w:hint="default"/>
      </w:rPr>
    </w:lvl>
    <w:lvl w:ilvl="1" w:tplc="08090003" w:tentative="1">
      <w:start w:val="1"/>
      <w:numFmt w:val="bullet"/>
      <w:lvlText w:val="o"/>
      <w:lvlJc w:val="left"/>
      <w:pPr>
        <w:ind w:left="1716" w:hanging="360"/>
      </w:pPr>
      <w:rPr>
        <w:rFonts w:ascii="Courier New" w:hAnsi="Courier New" w:cs="Courier New" w:hint="default"/>
      </w:rPr>
    </w:lvl>
    <w:lvl w:ilvl="2" w:tplc="08090005" w:tentative="1">
      <w:start w:val="1"/>
      <w:numFmt w:val="bullet"/>
      <w:lvlText w:val=""/>
      <w:lvlJc w:val="left"/>
      <w:pPr>
        <w:ind w:left="2436" w:hanging="360"/>
      </w:pPr>
      <w:rPr>
        <w:rFonts w:ascii="Wingdings" w:hAnsi="Wingdings" w:hint="default"/>
      </w:rPr>
    </w:lvl>
    <w:lvl w:ilvl="3" w:tplc="08090001" w:tentative="1">
      <w:start w:val="1"/>
      <w:numFmt w:val="bullet"/>
      <w:lvlText w:val=""/>
      <w:lvlJc w:val="left"/>
      <w:pPr>
        <w:ind w:left="3156" w:hanging="360"/>
      </w:pPr>
      <w:rPr>
        <w:rFonts w:ascii="Symbol" w:hAnsi="Symbol" w:hint="default"/>
      </w:rPr>
    </w:lvl>
    <w:lvl w:ilvl="4" w:tplc="08090003" w:tentative="1">
      <w:start w:val="1"/>
      <w:numFmt w:val="bullet"/>
      <w:lvlText w:val="o"/>
      <w:lvlJc w:val="left"/>
      <w:pPr>
        <w:ind w:left="3876" w:hanging="360"/>
      </w:pPr>
      <w:rPr>
        <w:rFonts w:ascii="Courier New" w:hAnsi="Courier New" w:cs="Courier New" w:hint="default"/>
      </w:rPr>
    </w:lvl>
    <w:lvl w:ilvl="5" w:tplc="08090005" w:tentative="1">
      <w:start w:val="1"/>
      <w:numFmt w:val="bullet"/>
      <w:lvlText w:val=""/>
      <w:lvlJc w:val="left"/>
      <w:pPr>
        <w:ind w:left="4596" w:hanging="360"/>
      </w:pPr>
      <w:rPr>
        <w:rFonts w:ascii="Wingdings" w:hAnsi="Wingdings" w:hint="default"/>
      </w:rPr>
    </w:lvl>
    <w:lvl w:ilvl="6" w:tplc="08090001" w:tentative="1">
      <w:start w:val="1"/>
      <w:numFmt w:val="bullet"/>
      <w:lvlText w:val=""/>
      <w:lvlJc w:val="left"/>
      <w:pPr>
        <w:ind w:left="5316" w:hanging="360"/>
      </w:pPr>
      <w:rPr>
        <w:rFonts w:ascii="Symbol" w:hAnsi="Symbol" w:hint="default"/>
      </w:rPr>
    </w:lvl>
    <w:lvl w:ilvl="7" w:tplc="08090003" w:tentative="1">
      <w:start w:val="1"/>
      <w:numFmt w:val="bullet"/>
      <w:lvlText w:val="o"/>
      <w:lvlJc w:val="left"/>
      <w:pPr>
        <w:ind w:left="6036" w:hanging="360"/>
      </w:pPr>
      <w:rPr>
        <w:rFonts w:ascii="Courier New" w:hAnsi="Courier New" w:cs="Courier New" w:hint="default"/>
      </w:rPr>
    </w:lvl>
    <w:lvl w:ilvl="8" w:tplc="08090005" w:tentative="1">
      <w:start w:val="1"/>
      <w:numFmt w:val="bullet"/>
      <w:lvlText w:val=""/>
      <w:lvlJc w:val="left"/>
      <w:pPr>
        <w:ind w:left="6756" w:hanging="360"/>
      </w:pPr>
      <w:rPr>
        <w:rFonts w:ascii="Wingdings" w:hAnsi="Wingdings" w:hint="default"/>
      </w:rPr>
    </w:lvl>
  </w:abstractNum>
  <w:abstractNum w:abstractNumId="15" w15:restartNumberingAfterBreak="0">
    <w:nsid w:val="4577359C"/>
    <w:multiLevelType w:val="hybridMultilevel"/>
    <w:tmpl w:val="CAA6E0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25C6C98"/>
    <w:multiLevelType w:val="hybridMultilevel"/>
    <w:tmpl w:val="A2ECAB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B7A1F8A"/>
    <w:multiLevelType w:val="hybridMultilevel"/>
    <w:tmpl w:val="2D6CFE0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8" w15:restartNumberingAfterBreak="0">
    <w:nsid w:val="5BC9038D"/>
    <w:multiLevelType w:val="multilevel"/>
    <w:tmpl w:val="D6421E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5C5E89"/>
    <w:multiLevelType w:val="hybridMultilevel"/>
    <w:tmpl w:val="F7E003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19D0B1E"/>
    <w:multiLevelType w:val="hybridMultilevel"/>
    <w:tmpl w:val="60644D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C402A74"/>
    <w:multiLevelType w:val="multilevel"/>
    <w:tmpl w:val="2A8EFA1C"/>
    <w:lvl w:ilvl="0">
      <w:start w:val="18"/>
      <w:numFmt w:val="decimal"/>
      <w:lvlText w:val="%1"/>
      <w:lvlJc w:val="left"/>
      <w:pPr>
        <w:ind w:left="465" w:hanging="465"/>
      </w:pPr>
      <w:rPr>
        <w:rFonts w:hint="default"/>
        <w:sz w:val="24"/>
      </w:rPr>
    </w:lvl>
    <w:lvl w:ilvl="1">
      <w:start w:val="1"/>
      <w:numFmt w:val="decimal"/>
      <w:lvlText w:val="%1.%2"/>
      <w:lvlJc w:val="left"/>
      <w:pPr>
        <w:ind w:left="465" w:hanging="465"/>
      </w:pPr>
      <w:rPr>
        <w:rFonts w:hint="default"/>
        <w:sz w:val="22"/>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05F4EB8"/>
    <w:multiLevelType w:val="multilevel"/>
    <w:tmpl w:val="EE8E6522"/>
    <w:lvl w:ilvl="0">
      <w:start w:val="1"/>
      <w:numFmt w:val="decimal"/>
      <w:lvlText w:val="%1."/>
      <w:lvlJc w:val="left"/>
      <w:pPr>
        <w:tabs>
          <w:tab w:val="num" w:pos="360"/>
        </w:tabs>
        <w:ind w:left="170" w:hanging="170"/>
      </w:pPr>
      <w:rPr>
        <w:rFonts w:ascii="Arial" w:hAnsi="Arial" w:cs="Arial" w:hint="default"/>
        <w:b/>
        <w:i w:val="0"/>
        <w:color w:val="auto"/>
        <w:sz w:val="24"/>
      </w:rPr>
    </w:lvl>
    <w:lvl w:ilvl="1">
      <w:start w:val="1"/>
      <w:numFmt w:val="upperLetter"/>
      <w:lvlText w:val="%2."/>
      <w:lvlJc w:val="left"/>
      <w:pPr>
        <w:tabs>
          <w:tab w:val="num" w:pos="1069"/>
        </w:tabs>
        <w:ind w:left="879" w:hanging="170"/>
      </w:pPr>
      <w:rPr>
        <w:rFonts w:hint="default"/>
        <w:b/>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lowerLetter"/>
      <w:suff w:val="space"/>
      <w:lvlText w:val="%4)"/>
      <w:lvlJc w:val="left"/>
      <w:pPr>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71F23440"/>
    <w:multiLevelType w:val="hybridMultilevel"/>
    <w:tmpl w:val="82F20A82"/>
    <w:lvl w:ilvl="0" w:tplc="77244480">
      <w:start w:val="1"/>
      <w:numFmt w:val="decimal"/>
      <w:lvlText w:val="%1)"/>
      <w:lvlJc w:val="left"/>
      <w:pPr>
        <w:ind w:left="828" w:hanging="361"/>
      </w:pPr>
      <w:rPr>
        <w:rFonts w:ascii="Arial" w:eastAsia="Arial" w:hAnsi="Arial" w:cs="Arial" w:hint="default"/>
        <w:b w:val="0"/>
        <w:bCs w:val="0"/>
        <w:i w:val="0"/>
        <w:iCs w:val="0"/>
        <w:w w:val="99"/>
        <w:sz w:val="24"/>
        <w:szCs w:val="24"/>
        <w:lang w:val="en-GB" w:eastAsia="en-US" w:bidi="ar-SA"/>
      </w:rPr>
    </w:lvl>
    <w:lvl w:ilvl="1" w:tplc="38B61FD4">
      <w:numFmt w:val="bullet"/>
      <w:lvlText w:val="•"/>
      <w:lvlJc w:val="left"/>
      <w:pPr>
        <w:ind w:left="1825" w:hanging="361"/>
      </w:pPr>
      <w:rPr>
        <w:rFonts w:hint="default"/>
        <w:lang w:val="en-GB" w:eastAsia="en-US" w:bidi="ar-SA"/>
      </w:rPr>
    </w:lvl>
    <w:lvl w:ilvl="2" w:tplc="904AF98C">
      <w:numFmt w:val="bullet"/>
      <w:lvlText w:val="•"/>
      <w:lvlJc w:val="left"/>
      <w:pPr>
        <w:ind w:left="2831" w:hanging="361"/>
      </w:pPr>
      <w:rPr>
        <w:rFonts w:hint="default"/>
        <w:lang w:val="en-GB" w:eastAsia="en-US" w:bidi="ar-SA"/>
      </w:rPr>
    </w:lvl>
    <w:lvl w:ilvl="3" w:tplc="06C4D400">
      <w:numFmt w:val="bullet"/>
      <w:lvlText w:val="•"/>
      <w:lvlJc w:val="left"/>
      <w:pPr>
        <w:ind w:left="3836" w:hanging="361"/>
      </w:pPr>
      <w:rPr>
        <w:rFonts w:hint="default"/>
        <w:lang w:val="en-GB" w:eastAsia="en-US" w:bidi="ar-SA"/>
      </w:rPr>
    </w:lvl>
    <w:lvl w:ilvl="4" w:tplc="816A2050">
      <w:numFmt w:val="bullet"/>
      <w:lvlText w:val="•"/>
      <w:lvlJc w:val="left"/>
      <w:pPr>
        <w:ind w:left="4842" w:hanging="361"/>
      </w:pPr>
      <w:rPr>
        <w:rFonts w:hint="default"/>
        <w:lang w:val="en-GB" w:eastAsia="en-US" w:bidi="ar-SA"/>
      </w:rPr>
    </w:lvl>
    <w:lvl w:ilvl="5" w:tplc="F13ADF46">
      <w:numFmt w:val="bullet"/>
      <w:lvlText w:val="•"/>
      <w:lvlJc w:val="left"/>
      <w:pPr>
        <w:ind w:left="5847" w:hanging="361"/>
      </w:pPr>
      <w:rPr>
        <w:rFonts w:hint="default"/>
        <w:lang w:val="en-GB" w:eastAsia="en-US" w:bidi="ar-SA"/>
      </w:rPr>
    </w:lvl>
    <w:lvl w:ilvl="6" w:tplc="FF4A7A92">
      <w:numFmt w:val="bullet"/>
      <w:lvlText w:val="•"/>
      <w:lvlJc w:val="left"/>
      <w:pPr>
        <w:ind w:left="6853" w:hanging="361"/>
      </w:pPr>
      <w:rPr>
        <w:rFonts w:hint="default"/>
        <w:lang w:val="en-GB" w:eastAsia="en-US" w:bidi="ar-SA"/>
      </w:rPr>
    </w:lvl>
    <w:lvl w:ilvl="7" w:tplc="CCF450F8">
      <w:numFmt w:val="bullet"/>
      <w:lvlText w:val="•"/>
      <w:lvlJc w:val="left"/>
      <w:pPr>
        <w:ind w:left="7858" w:hanging="361"/>
      </w:pPr>
      <w:rPr>
        <w:rFonts w:hint="default"/>
        <w:lang w:val="en-GB" w:eastAsia="en-US" w:bidi="ar-SA"/>
      </w:rPr>
    </w:lvl>
    <w:lvl w:ilvl="8" w:tplc="AEE037C6">
      <w:numFmt w:val="bullet"/>
      <w:lvlText w:val="•"/>
      <w:lvlJc w:val="left"/>
      <w:pPr>
        <w:ind w:left="8864" w:hanging="361"/>
      </w:pPr>
      <w:rPr>
        <w:rFonts w:hint="default"/>
        <w:lang w:val="en-GB" w:eastAsia="en-US" w:bidi="ar-SA"/>
      </w:rPr>
    </w:lvl>
  </w:abstractNum>
  <w:abstractNum w:abstractNumId="24" w15:restartNumberingAfterBreak="0">
    <w:nsid w:val="722253C3"/>
    <w:multiLevelType w:val="hybridMultilevel"/>
    <w:tmpl w:val="4B209B3A"/>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5" w15:restartNumberingAfterBreak="0">
    <w:nsid w:val="73710844"/>
    <w:multiLevelType w:val="hybridMultilevel"/>
    <w:tmpl w:val="802C8BA4"/>
    <w:lvl w:ilvl="0" w:tplc="963ABB92">
      <w:numFmt w:val="bullet"/>
      <w:lvlText w:val="-"/>
      <w:lvlJc w:val="left"/>
      <w:pPr>
        <w:ind w:left="6496" w:hanging="231"/>
      </w:pPr>
      <w:rPr>
        <w:rFonts w:ascii="Arial" w:eastAsia="Arial" w:hAnsi="Arial" w:cs="Arial" w:hint="default"/>
        <w:b w:val="0"/>
        <w:bCs w:val="0"/>
        <w:i w:val="0"/>
        <w:iCs w:val="0"/>
        <w:w w:val="99"/>
        <w:sz w:val="24"/>
        <w:szCs w:val="24"/>
        <w:shd w:val="clear" w:color="auto" w:fill="00FFFF"/>
        <w:lang w:val="en-GB" w:eastAsia="en-US" w:bidi="ar-SA"/>
      </w:rPr>
    </w:lvl>
    <w:lvl w:ilvl="1" w:tplc="4E3CA382">
      <w:numFmt w:val="bullet"/>
      <w:lvlText w:val="•"/>
      <w:lvlJc w:val="left"/>
      <w:pPr>
        <w:ind w:left="6948" w:hanging="231"/>
      </w:pPr>
      <w:rPr>
        <w:rFonts w:hint="default"/>
        <w:lang w:val="en-GB" w:eastAsia="en-US" w:bidi="ar-SA"/>
      </w:rPr>
    </w:lvl>
    <w:lvl w:ilvl="2" w:tplc="25DA68A2">
      <w:numFmt w:val="bullet"/>
      <w:lvlText w:val="•"/>
      <w:lvlJc w:val="left"/>
      <w:pPr>
        <w:ind w:left="7397" w:hanging="231"/>
      </w:pPr>
      <w:rPr>
        <w:rFonts w:hint="default"/>
        <w:lang w:val="en-GB" w:eastAsia="en-US" w:bidi="ar-SA"/>
      </w:rPr>
    </w:lvl>
    <w:lvl w:ilvl="3" w:tplc="89C845C2">
      <w:numFmt w:val="bullet"/>
      <w:lvlText w:val="•"/>
      <w:lvlJc w:val="left"/>
      <w:pPr>
        <w:ind w:left="7845" w:hanging="231"/>
      </w:pPr>
      <w:rPr>
        <w:rFonts w:hint="default"/>
        <w:lang w:val="en-GB" w:eastAsia="en-US" w:bidi="ar-SA"/>
      </w:rPr>
    </w:lvl>
    <w:lvl w:ilvl="4" w:tplc="7FE4D6B6">
      <w:numFmt w:val="bullet"/>
      <w:lvlText w:val="•"/>
      <w:lvlJc w:val="left"/>
      <w:pPr>
        <w:ind w:left="8294" w:hanging="231"/>
      </w:pPr>
      <w:rPr>
        <w:rFonts w:hint="default"/>
        <w:lang w:val="en-GB" w:eastAsia="en-US" w:bidi="ar-SA"/>
      </w:rPr>
    </w:lvl>
    <w:lvl w:ilvl="5" w:tplc="84985E20">
      <w:numFmt w:val="bullet"/>
      <w:lvlText w:val="•"/>
      <w:lvlJc w:val="left"/>
      <w:pPr>
        <w:ind w:left="8743" w:hanging="231"/>
      </w:pPr>
      <w:rPr>
        <w:rFonts w:hint="default"/>
        <w:lang w:val="en-GB" w:eastAsia="en-US" w:bidi="ar-SA"/>
      </w:rPr>
    </w:lvl>
    <w:lvl w:ilvl="6" w:tplc="6FD8253A">
      <w:numFmt w:val="bullet"/>
      <w:lvlText w:val="•"/>
      <w:lvlJc w:val="left"/>
      <w:pPr>
        <w:ind w:left="9191" w:hanging="231"/>
      </w:pPr>
      <w:rPr>
        <w:rFonts w:hint="default"/>
        <w:lang w:val="en-GB" w:eastAsia="en-US" w:bidi="ar-SA"/>
      </w:rPr>
    </w:lvl>
    <w:lvl w:ilvl="7" w:tplc="A022B67C">
      <w:numFmt w:val="bullet"/>
      <w:lvlText w:val="•"/>
      <w:lvlJc w:val="left"/>
      <w:pPr>
        <w:ind w:left="9640" w:hanging="231"/>
      </w:pPr>
      <w:rPr>
        <w:rFonts w:hint="default"/>
        <w:lang w:val="en-GB" w:eastAsia="en-US" w:bidi="ar-SA"/>
      </w:rPr>
    </w:lvl>
    <w:lvl w:ilvl="8" w:tplc="33EAF4C6">
      <w:numFmt w:val="bullet"/>
      <w:lvlText w:val="•"/>
      <w:lvlJc w:val="left"/>
      <w:pPr>
        <w:ind w:left="10089" w:hanging="231"/>
      </w:pPr>
      <w:rPr>
        <w:rFonts w:hint="default"/>
        <w:lang w:val="en-GB" w:eastAsia="en-US" w:bidi="ar-SA"/>
      </w:rPr>
    </w:lvl>
  </w:abstractNum>
  <w:abstractNum w:abstractNumId="26" w15:restartNumberingAfterBreak="0">
    <w:nsid w:val="73960AB4"/>
    <w:multiLevelType w:val="hybridMultilevel"/>
    <w:tmpl w:val="7930BC6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7" w15:restartNumberingAfterBreak="0">
    <w:nsid w:val="7B9D78AB"/>
    <w:multiLevelType w:val="multilevel"/>
    <w:tmpl w:val="1480C554"/>
    <w:lvl w:ilvl="0">
      <w:start w:val="5"/>
      <w:numFmt w:val="decimal"/>
      <w:lvlText w:val="%1"/>
      <w:lvlJc w:val="left"/>
      <w:pPr>
        <w:ind w:left="458" w:hanging="579"/>
      </w:pPr>
      <w:rPr>
        <w:rFonts w:hint="default"/>
        <w:lang w:val="en-GB" w:eastAsia="en-US" w:bidi="ar-SA"/>
      </w:rPr>
    </w:lvl>
    <w:lvl w:ilvl="1">
      <w:start w:val="1"/>
      <w:numFmt w:val="decimal"/>
      <w:lvlText w:val="%1.%2."/>
      <w:lvlJc w:val="left"/>
      <w:pPr>
        <w:ind w:left="458" w:hanging="579"/>
      </w:pPr>
      <w:rPr>
        <w:rFonts w:ascii="Arial" w:eastAsia="Arial" w:hAnsi="Arial" w:cs="Arial" w:hint="default"/>
        <w:b w:val="0"/>
        <w:bCs w:val="0"/>
        <w:i w:val="0"/>
        <w:iCs w:val="0"/>
        <w:w w:val="99"/>
        <w:sz w:val="24"/>
        <w:szCs w:val="24"/>
        <w:lang w:val="en-GB" w:eastAsia="en-US" w:bidi="ar-SA"/>
      </w:rPr>
    </w:lvl>
    <w:lvl w:ilvl="2">
      <w:numFmt w:val="bullet"/>
      <w:lvlText w:val="•"/>
      <w:lvlJc w:val="left"/>
      <w:pPr>
        <w:ind w:left="2597" w:hanging="579"/>
      </w:pPr>
      <w:rPr>
        <w:rFonts w:hint="default"/>
        <w:lang w:val="en-GB" w:eastAsia="en-US" w:bidi="ar-SA"/>
      </w:rPr>
    </w:lvl>
    <w:lvl w:ilvl="3">
      <w:numFmt w:val="bullet"/>
      <w:lvlText w:val="•"/>
      <w:lvlJc w:val="left"/>
      <w:pPr>
        <w:ind w:left="3665" w:hanging="579"/>
      </w:pPr>
      <w:rPr>
        <w:rFonts w:hint="default"/>
        <w:lang w:val="en-GB" w:eastAsia="en-US" w:bidi="ar-SA"/>
      </w:rPr>
    </w:lvl>
    <w:lvl w:ilvl="4">
      <w:numFmt w:val="bullet"/>
      <w:lvlText w:val="•"/>
      <w:lvlJc w:val="left"/>
      <w:pPr>
        <w:ind w:left="4734" w:hanging="579"/>
      </w:pPr>
      <w:rPr>
        <w:rFonts w:hint="default"/>
        <w:lang w:val="en-GB" w:eastAsia="en-US" w:bidi="ar-SA"/>
      </w:rPr>
    </w:lvl>
    <w:lvl w:ilvl="5">
      <w:numFmt w:val="bullet"/>
      <w:lvlText w:val="•"/>
      <w:lvlJc w:val="left"/>
      <w:pPr>
        <w:ind w:left="5803" w:hanging="579"/>
      </w:pPr>
      <w:rPr>
        <w:rFonts w:hint="default"/>
        <w:lang w:val="en-GB" w:eastAsia="en-US" w:bidi="ar-SA"/>
      </w:rPr>
    </w:lvl>
    <w:lvl w:ilvl="6">
      <w:numFmt w:val="bullet"/>
      <w:lvlText w:val="•"/>
      <w:lvlJc w:val="left"/>
      <w:pPr>
        <w:ind w:left="6871" w:hanging="579"/>
      </w:pPr>
      <w:rPr>
        <w:rFonts w:hint="default"/>
        <w:lang w:val="en-GB" w:eastAsia="en-US" w:bidi="ar-SA"/>
      </w:rPr>
    </w:lvl>
    <w:lvl w:ilvl="7">
      <w:numFmt w:val="bullet"/>
      <w:lvlText w:val="•"/>
      <w:lvlJc w:val="left"/>
      <w:pPr>
        <w:ind w:left="7940" w:hanging="579"/>
      </w:pPr>
      <w:rPr>
        <w:rFonts w:hint="default"/>
        <w:lang w:val="en-GB" w:eastAsia="en-US" w:bidi="ar-SA"/>
      </w:rPr>
    </w:lvl>
    <w:lvl w:ilvl="8">
      <w:numFmt w:val="bullet"/>
      <w:lvlText w:val="•"/>
      <w:lvlJc w:val="left"/>
      <w:pPr>
        <w:ind w:left="9009" w:hanging="579"/>
      </w:pPr>
      <w:rPr>
        <w:rFonts w:hint="default"/>
        <w:lang w:val="en-GB" w:eastAsia="en-US" w:bidi="ar-SA"/>
      </w:rPr>
    </w:lvl>
  </w:abstractNum>
  <w:num w:numId="1" w16cid:durableId="1606422708">
    <w:abstractNumId w:val="25"/>
  </w:num>
  <w:num w:numId="2" w16cid:durableId="1313213968">
    <w:abstractNumId w:val="1"/>
  </w:num>
  <w:num w:numId="3" w16cid:durableId="1984460921">
    <w:abstractNumId w:val="27"/>
  </w:num>
  <w:num w:numId="4" w16cid:durableId="1177308791">
    <w:abstractNumId w:val="2"/>
  </w:num>
  <w:num w:numId="5" w16cid:durableId="1349717487">
    <w:abstractNumId w:val="23"/>
  </w:num>
  <w:num w:numId="6" w16cid:durableId="1030836196">
    <w:abstractNumId w:val="8"/>
  </w:num>
  <w:num w:numId="7" w16cid:durableId="766854558">
    <w:abstractNumId w:val="0"/>
  </w:num>
  <w:num w:numId="8" w16cid:durableId="62066844">
    <w:abstractNumId w:val="6"/>
  </w:num>
  <w:num w:numId="9" w16cid:durableId="2024503405">
    <w:abstractNumId w:val="7"/>
  </w:num>
  <w:num w:numId="10" w16cid:durableId="997003680">
    <w:abstractNumId w:val="4"/>
  </w:num>
  <w:num w:numId="11" w16cid:durableId="319232224">
    <w:abstractNumId w:val="3"/>
  </w:num>
  <w:num w:numId="12" w16cid:durableId="1280836662">
    <w:abstractNumId w:val="20"/>
  </w:num>
  <w:num w:numId="13" w16cid:durableId="444689972">
    <w:abstractNumId w:val="24"/>
  </w:num>
  <w:num w:numId="14" w16cid:durableId="1154418541">
    <w:abstractNumId w:val="17"/>
  </w:num>
  <w:num w:numId="15" w16cid:durableId="382599435">
    <w:abstractNumId w:val="26"/>
  </w:num>
  <w:num w:numId="16" w16cid:durableId="1615166526">
    <w:abstractNumId w:val="11"/>
  </w:num>
  <w:num w:numId="17" w16cid:durableId="1477457039">
    <w:abstractNumId w:val="14"/>
  </w:num>
  <w:num w:numId="18" w16cid:durableId="454299637">
    <w:abstractNumId w:val="10"/>
  </w:num>
  <w:num w:numId="19" w16cid:durableId="1755324756">
    <w:abstractNumId w:val="22"/>
  </w:num>
  <w:num w:numId="20" w16cid:durableId="359816911">
    <w:abstractNumId w:val="12"/>
  </w:num>
  <w:num w:numId="21" w16cid:durableId="1927037347">
    <w:abstractNumId w:val="16"/>
  </w:num>
  <w:num w:numId="22" w16cid:durableId="1970356122">
    <w:abstractNumId w:val="15"/>
  </w:num>
  <w:num w:numId="23" w16cid:durableId="725569983">
    <w:abstractNumId w:val="21"/>
  </w:num>
  <w:num w:numId="24" w16cid:durableId="712384070">
    <w:abstractNumId w:val="13"/>
  </w:num>
  <w:num w:numId="25" w16cid:durableId="1676421838">
    <w:abstractNumId w:val="18"/>
  </w:num>
  <w:num w:numId="26" w16cid:durableId="1873304555">
    <w:abstractNumId w:val="9"/>
  </w:num>
  <w:num w:numId="27" w16cid:durableId="649794557">
    <w:abstractNumId w:val="5"/>
  </w:num>
  <w:num w:numId="28" w16cid:durableId="9529001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NDI3MLc0NjYyNLdQ0lEKTi0uzszPAykwqQUAAUVHLCwAAAA="/>
  </w:docVars>
  <w:rsids>
    <w:rsidRoot w:val="0082498B"/>
    <w:rsid w:val="000120B5"/>
    <w:rsid w:val="000158D9"/>
    <w:rsid w:val="000304F7"/>
    <w:rsid w:val="00033051"/>
    <w:rsid w:val="000420D5"/>
    <w:rsid w:val="00045F7B"/>
    <w:rsid w:val="00053B29"/>
    <w:rsid w:val="00054C68"/>
    <w:rsid w:val="00057DE8"/>
    <w:rsid w:val="00067A9E"/>
    <w:rsid w:val="0007406A"/>
    <w:rsid w:val="00074672"/>
    <w:rsid w:val="00074825"/>
    <w:rsid w:val="000754CF"/>
    <w:rsid w:val="000835B7"/>
    <w:rsid w:val="00087CF9"/>
    <w:rsid w:val="000938C9"/>
    <w:rsid w:val="0009398F"/>
    <w:rsid w:val="000B5E6A"/>
    <w:rsid w:val="000C297F"/>
    <w:rsid w:val="000C3773"/>
    <w:rsid w:val="000E0376"/>
    <w:rsid w:val="000E2FFE"/>
    <w:rsid w:val="000E6BA2"/>
    <w:rsid w:val="000F6FD3"/>
    <w:rsid w:val="0010117D"/>
    <w:rsid w:val="001018C7"/>
    <w:rsid w:val="00101DC6"/>
    <w:rsid w:val="001121DC"/>
    <w:rsid w:val="00125936"/>
    <w:rsid w:val="001334C4"/>
    <w:rsid w:val="001507CA"/>
    <w:rsid w:val="00156E2F"/>
    <w:rsid w:val="00160ACC"/>
    <w:rsid w:val="00184773"/>
    <w:rsid w:val="0019022F"/>
    <w:rsid w:val="001905CE"/>
    <w:rsid w:val="00191577"/>
    <w:rsid w:val="001B72B7"/>
    <w:rsid w:val="001C631E"/>
    <w:rsid w:val="001E194A"/>
    <w:rsid w:val="001F1C73"/>
    <w:rsid w:val="001F3A40"/>
    <w:rsid w:val="00210A5B"/>
    <w:rsid w:val="00212229"/>
    <w:rsid w:val="00223B13"/>
    <w:rsid w:val="00226673"/>
    <w:rsid w:val="002331AA"/>
    <w:rsid w:val="0024303D"/>
    <w:rsid w:val="00252565"/>
    <w:rsid w:val="002609F8"/>
    <w:rsid w:val="002A1FFE"/>
    <w:rsid w:val="002A58C6"/>
    <w:rsid w:val="002B775D"/>
    <w:rsid w:val="002C10DA"/>
    <w:rsid w:val="002C14A4"/>
    <w:rsid w:val="002C7E23"/>
    <w:rsid w:val="002D7209"/>
    <w:rsid w:val="002D7D15"/>
    <w:rsid w:val="002E1F02"/>
    <w:rsid w:val="002E2702"/>
    <w:rsid w:val="003042D0"/>
    <w:rsid w:val="00310A9B"/>
    <w:rsid w:val="003145CD"/>
    <w:rsid w:val="00320450"/>
    <w:rsid w:val="003242EE"/>
    <w:rsid w:val="003421EF"/>
    <w:rsid w:val="00344F9B"/>
    <w:rsid w:val="003546A6"/>
    <w:rsid w:val="00380D42"/>
    <w:rsid w:val="00381DD1"/>
    <w:rsid w:val="003828A1"/>
    <w:rsid w:val="0038344F"/>
    <w:rsid w:val="00390DC2"/>
    <w:rsid w:val="003A15C9"/>
    <w:rsid w:val="003A3688"/>
    <w:rsid w:val="003A3D17"/>
    <w:rsid w:val="003A7F62"/>
    <w:rsid w:val="003B531D"/>
    <w:rsid w:val="003F0548"/>
    <w:rsid w:val="003F0A18"/>
    <w:rsid w:val="003F7F75"/>
    <w:rsid w:val="00400659"/>
    <w:rsid w:val="00403BCA"/>
    <w:rsid w:val="0040493F"/>
    <w:rsid w:val="00405477"/>
    <w:rsid w:val="0041713B"/>
    <w:rsid w:val="00437A5A"/>
    <w:rsid w:val="0044383D"/>
    <w:rsid w:val="004516EF"/>
    <w:rsid w:val="00456DAD"/>
    <w:rsid w:val="00464265"/>
    <w:rsid w:val="004A0976"/>
    <w:rsid w:val="004B30C6"/>
    <w:rsid w:val="004B5EAE"/>
    <w:rsid w:val="004C5E6A"/>
    <w:rsid w:val="004D3AAD"/>
    <w:rsid w:val="004E048A"/>
    <w:rsid w:val="004F2CB0"/>
    <w:rsid w:val="005009E7"/>
    <w:rsid w:val="0050613D"/>
    <w:rsid w:val="00525BC1"/>
    <w:rsid w:val="00530844"/>
    <w:rsid w:val="005345C5"/>
    <w:rsid w:val="00535D34"/>
    <w:rsid w:val="00536656"/>
    <w:rsid w:val="00540436"/>
    <w:rsid w:val="00550F1E"/>
    <w:rsid w:val="00555A43"/>
    <w:rsid w:val="00575FC2"/>
    <w:rsid w:val="00585C7D"/>
    <w:rsid w:val="00586945"/>
    <w:rsid w:val="005A2E9C"/>
    <w:rsid w:val="005B34A4"/>
    <w:rsid w:val="005B6390"/>
    <w:rsid w:val="005C449A"/>
    <w:rsid w:val="005D1B71"/>
    <w:rsid w:val="005D47E7"/>
    <w:rsid w:val="005E7D66"/>
    <w:rsid w:val="005F2AEB"/>
    <w:rsid w:val="005F6A6D"/>
    <w:rsid w:val="0060215A"/>
    <w:rsid w:val="006038A6"/>
    <w:rsid w:val="00615445"/>
    <w:rsid w:val="0062559A"/>
    <w:rsid w:val="00627F6E"/>
    <w:rsid w:val="006368AB"/>
    <w:rsid w:val="00651CFE"/>
    <w:rsid w:val="00660612"/>
    <w:rsid w:val="00666173"/>
    <w:rsid w:val="0067023C"/>
    <w:rsid w:val="00690255"/>
    <w:rsid w:val="00692513"/>
    <w:rsid w:val="00695899"/>
    <w:rsid w:val="006A77DE"/>
    <w:rsid w:val="006A7840"/>
    <w:rsid w:val="006B0B6D"/>
    <w:rsid w:val="006C284A"/>
    <w:rsid w:val="006D013F"/>
    <w:rsid w:val="006F5900"/>
    <w:rsid w:val="006F7861"/>
    <w:rsid w:val="00702D1E"/>
    <w:rsid w:val="007220CE"/>
    <w:rsid w:val="00736704"/>
    <w:rsid w:val="00742B60"/>
    <w:rsid w:val="00745AAA"/>
    <w:rsid w:val="007502F7"/>
    <w:rsid w:val="00757F1A"/>
    <w:rsid w:val="00761CEC"/>
    <w:rsid w:val="00767C1A"/>
    <w:rsid w:val="00784C31"/>
    <w:rsid w:val="00784CAD"/>
    <w:rsid w:val="00786AA0"/>
    <w:rsid w:val="00793425"/>
    <w:rsid w:val="007B028E"/>
    <w:rsid w:val="007B5EA9"/>
    <w:rsid w:val="007C1928"/>
    <w:rsid w:val="007C2406"/>
    <w:rsid w:val="007D1818"/>
    <w:rsid w:val="007D46AF"/>
    <w:rsid w:val="007E24EA"/>
    <w:rsid w:val="007E6A83"/>
    <w:rsid w:val="007F1CBD"/>
    <w:rsid w:val="007F2692"/>
    <w:rsid w:val="007F7432"/>
    <w:rsid w:val="00801EFC"/>
    <w:rsid w:val="00802C97"/>
    <w:rsid w:val="00803C39"/>
    <w:rsid w:val="008151FD"/>
    <w:rsid w:val="00817F5D"/>
    <w:rsid w:val="008208FC"/>
    <w:rsid w:val="0082498B"/>
    <w:rsid w:val="00824C79"/>
    <w:rsid w:val="0082603A"/>
    <w:rsid w:val="00833671"/>
    <w:rsid w:val="008339FF"/>
    <w:rsid w:val="008350A0"/>
    <w:rsid w:val="00847B0C"/>
    <w:rsid w:val="0085123A"/>
    <w:rsid w:val="00870A28"/>
    <w:rsid w:val="008746CA"/>
    <w:rsid w:val="00881182"/>
    <w:rsid w:val="00887DF7"/>
    <w:rsid w:val="00894F87"/>
    <w:rsid w:val="008A711E"/>
    <w:rsid w:val="008B7F69"/>
    <w:rsid w:val="008C1548"/>
    <w:rsid w:val="008C6EC6"/>
    <w:rsid w:val="008E186A"/>
    <w:rsid w:val="008E5CF0"/>
    <w:rsid w:val="0092510B"/>
    <w:rsid w:val="00925186"/>
    <w:rsid w:val="00927CB5"/>
    <w:rsid w:val="0094529B"/>
    <w:rsid w:val="00963C13"/>
    <w:rsid w:val="009723F5"/>
    <w:rsid w:val="009750CE"/>
    <w:rsid w:val="00982BF0"/>
    <w:rsid w:val="009912C6"/>
    <w:rsid w:val="009A39DA"/>
    <w:rsid w:val="009A7C99"/>
    <w:rsid w:val="009B07BD"/>
    <w:rsid w:val="009B526D"/>
    <w:rsid w:val="009B7C95"/>
    <w:rsid w:val="009D20DA"/>
    <w:rsid w:val="009E1E49"/>
    <w:rsid w:val="009E4459"/>
    <w:rsid w:val="009F4EAF"/>
    <w:rsid w:val="00A0099A"/>
    <w:rsid w:val="00A14497"/>
    <w:rsid w:val="00A1467B"/>
    <w:rsid w:val="00A1676D"/>
    <w:rsid w:val="00A34E95"/>
    <w:rsid w:val="00A535D8"/>
    <w:rsid w:val="00A71864"/>
    <w:rsid w:val="00A7452C"/>
    <w:rsid w:val="00A84015"/>
    <w:rsid w:val="00A86707"/>
    <w:rsid w:val="00A87979"/>
    <w:rsid w:val="00A942D4"/>
    <w:rsid w:val="00AA23B4"/>
    <w:rsid w:val="00AA7B92"/>
    <w:rsid w:val="00AB0D40"/>
    <w:rsid w:val="00AB2437"/>
    <w:rsid w:val="00AB3F11"/>
    <w:rsid w:val="00AB7547"/>
    <w:rsid w:val="00AC0124"/>
    <w:rsid w:val="00AC4D11"/>
    <w:rsid w:val="00AC5D0D"/>
    <w:rsid w:val="00AD657F"/>
    <w:rsid w:val="00B079C4"/>
    <w:rsid w:val="00B1363E"/>
    <w:rsid w:val="00B23329"/>
    <w:rsid w:val="00B236CE"/>
    <w:rsid w:val="00B53FD2"/>
    <w:rsid w:val="00B661D9"/>
    <w:rsid w:val="00B67577"/>
    <w:rsid w:val="00B701F1"/>
    <w:rsid w:val="00B7120D"/>
    <w:rsid w:val="00B80F42"/>
    <w:rsid w:val="00B83384"/>
    <w:rsid w:val="00B877C2"/>
    <w:rsid w:val="00B90233"/>
    <w:rsid w:val="00B92670"/>
    <w:rsid w:val="00B926A1"/>
    <w:rsid w:val="00BB7A6F"/>
    <w:rsid w:val="00BC0E41"/>
    <w:rsid w:val="00BD6499"/>
    <w:rsid w:val="00BF7E3F"/>
    <w:rsid w:val="00C2081D"/>
    <w:rsid w:val="00C23329"/>
    <w:rsid w:val="00C54D4C"/>
    <w:rsid w:val="00C56E32"/>
    <w:rsid w:val="00C6713B"/>
    <w:rsid w:val="00C75A47"/>
    <w:rsid w:val="00C76B1F"/>
    <w:rsid w:val="00C82023"/>
    <w:rsid w:val="00C82C32"/>
    <w:rsid w:val="00C959EF"/>
    <w:rsid w:val="00CA5D99"/>
    <w:rsid w:val="00CD7272"/>
    <w:rsid w:val="00CD7D1C"/>
    <w:rsid w:val="00CE3516"/>
    <w:rsid w:val="00CF27DF"/>
    <w:rsid w:val="00D01BB4"/>
    <w:rsid w:val="00D02A44"/>
    <w:rsid w:val="00D03EB7"/>
    <w:rsid w:val="00D05240"/>
    <w:rsid w:val="00D24EE3"/>
    <w:rsid w:val="00D27207"/>
    <w:rsid w:val="00D32CB5"/>
    <w:rsid w:val="00D42A21"/>
    <w:rsid w:val="00D53C04"/>
    <w:rsid w:val="00D57F87"/>
    <w:rsid w:val="00D6721B"/>
    <w:rsid w:val="00D73AA9"/>
    <w:rsid w:val="00D74887"/>
    <w:rsid w:val="00D9008A"/>
    <w:rsid w:val="00D952C8"/>
    <w:rsid w:val="00D958FC"/>
    <w:rsid w:val="00D95A17"/>
    <w:rsid w:val="00DB2CF1"/>
    <w:rsid w:val="00DB455F"/>
    <w:rsid w:val="00DC0015"/>
    <w:rsid w:val="00DC072D"/>
    <w:rsid w:val="00DC32F0"/>
    <w:rsid w:val="00DC588B"/>
    <w:rsid w:val="00DD651F"/>
    <w:rsid w:val="00E0168F"/>
    <w:rsid w:val="00E048D9"/>
    <w:rsid w:val="00E04B42"/>
    <w:rsid w:val="00E0665A"/>
    <w:rsid w:val="00E15EB0"/>
    <w:rsid w:val="00E15FB4"/>
    <w:rsid w:val="00E261E4"/>
    <w:rsid w:val="00E311F8"/>
    <w:rsid w:val="00E55764"/>
    <w:rsid w:val="00E90694"/>
    <w:rsid w:val="00E91672"/>
    <w:rsid w:val="00E92831"/>
    <w:rsid w:val="00E96DAB"/>
    <w:rsid w:val="00E97836"/>
    <w:rsid w:val="00EC2C52"/>
    <w:rsid w:val="00ED1DD8"/>
    <w:rsid w:val="00ED3BF8"/>
    <w:rsid w:val="00EE0B55"/>
    <w:rsid w:val="00EE0BF1"/>
    <w:rsid w:val="00EE2B11"/>
    <w:rsid w:val="00EE2CB9"/>
    <w:rsid w:val="00EE6AEE"/>
    <w:rsid w:val="00EF453B"/>
    <w:rsid w:val="00F02764"/>
    <w:rsid w:val="00F077F2"/>
    <w:rsid w:val="00F11F08"/>
    <w:rsid w:val="00F1423D"/>
    <w:rsid w:val="00F207C5"/>
    <w:rsid w:val="00F208E7"/>
    <w:rsid w:val="00F25D32"/>
    <w:rsid w:val="00F26A6C"/>
    <w:rsid w:val="00F27BA1"/>
    <w:rsid w:val="00F30BE4"/>
    <w:rsid w:val="00F30E90"/>
    <w:rsid w:val="00F50529"/>
    <w:rsid w:val="00F52144"/>
    <w:rsid w:val="00F60FE3"/>
    <w:rsid w:val="00F63AFC"/>
    <w:rsid w:val="00F706D7"/>
    <w:rsid w:val="00F71189"/>
    <w:rsid w:val="00F75D06"/>
    <w:rsid w:val="00F867E9"/>
    <w:rsid w:val="00FA255C"/>
    <w:rsid w:val="00FA49F6"/>
    <w:rsid w:val="00FA7878"/>
    <w:rsid w:val="00FB0403"/>
    <w:rsid w:val="00FB12F2"/>
    <w:rsid w:val="00FC6847"/>
    <w:rsid w:val="00FD0E69"/>
    <w:rsid w:val="00FE28C9"/>
    <w:rsid w:val="00FE38DA"/>
    <w:rsid w:val="00FF0ED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2A5EA"/>
  <w15:docId w15:val="{27804B29-945B-4349-97BC-53CE757A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2">
    <w:name w:val="heading 2"/>
    <w:basedOn w:val="Normal"/>
    <w:next w:val="Normal"/>
    <w:link w:val="Heading2Char"/>
    <w:uiPriority w:val="9"/>
    <w:unhideWhenUsed/>
    <w:qFormat/>
    <w:rsid w:val="006368AB"/>
    <w:pPr>
      <w:keepNext/>
      <w:widowControl/>
      <w:autoSpaceDE/>
      <w:autoSpaceDN/>
      <w:jc w:val="right"/>
      <w:outlineLvl w:val="1"/>
    </w:pPr>
    <w:rPr>
      <w:rFonts w:eastAsia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316" w:hanging="171"/>
      <w:jc w:val="both"/>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A87979"/>
    <w:rPr>
      <w:color w:val="0000FF" w:themeColor="hyperlink"/>
      <w:u w:val="single"/>
    </w:rPr>
  </w:style>
  <w:style w:type="character" w:customStyle="1" w:styleId="UnresolvedMention1">
    <w:name w:val="Unresolved Mention1"/>
    <w:basedOn w:val="DefaultParagraphFont"/>
    <w:uiPriority w:val="99"/>
    <w:semiHidden/>
    <w:unhideWhenUsed/>
    <w:rsid w:val="00A87979"/>
    <w:rPr>
      <w:color w:val="605E5C"/>
      <w:shd w:val="clear" w:color="auto" w:fill="E1DFDD"/>
    </w:rPr>
  </w:style>
  <w:style w:type="table" w:styleId="TableGrid">
    <w:name w:val="Table Grid"/>
    <w:basedOn w:val="TableNormal"/>
    <w:uiPriority w:val="59"/>
    <w:rsid w:val="00AA7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61E4"/>
    <w:rPr>
      <w:sz w:val="16"/>
      <w:szCs w:val="16"/>
    </w:rPr>
  </w:style>
  <w:style w:type="paragraph" w:styleId="CommentText">
    <w:name w:val="annotation text"/>
    <w:basedOn w:val="Normal"/>
    <w:link w:val="CommentTextChar"/>
    <w:uiPriority w:val="99"/>
    <w:unhideWhenUsed/>
    <w:rsid w:val="00E261E4"/>
    <w:rPr>
      <w:sz w:val="20"/>
      <w:szCs w:val="20"/>
    </w:rPr>
  </w:style>
  <w:style w:type="character" w:customStyle="1" w:styleId="CommentTextChar">
    <w:name w:val="Comment Text Char"/>
    <w:basedOn w:val="DefaultParagraphFont"/>
    <w:link w:val="CommentText"/>
    <w:uiPriority w:val="99"/>
    <w:rsid w:val="00E261E4"/>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E261E4"/>
    <w:rPr>
      <w:b/>
      <w:bCs/>
    </w:rPr>
  </w:style>
  <w:style w:type="character" w:customStyle="1" w:styleId="CommentSubjectChar">
    <w:name w:val="Comment Subject Char"/>
    <w:basedOn w:val="CommentTextChar"/>
    <w:link w:val="CommentSubject"/>
    <w:uiPriority w:val="99"/>
    <w:semiHidden/>
    <w:rsid w:val="00E261E4"/>
    <w:rPr>
      <w:rFonts w:ascii="Arial" w:eastAsia="Arial" w:hAnsi="Arial" w:cs="Arial"/>
      <w:b/>
      <w:bCs/>
      <w:sz w:val="20"/>
      <w:szCs w:val="20"/>
      <w:lang w:val="en-GB"/>
    </w:rPr>
  </w:style>
  <w:style w:type="paragraph" w:styleId="BalloonText">
    <w:name w:val="Balloon Text"/>
    <w:basedOn w:val="Normal"/>
    <w:link w:val="BalloonTextChar"/>
    <w:uiPriority w:val="99"/>
    <w:semiHidden/>
    <w:unhideWhenUsed/>
    <w:rsid w:val="00E261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1E4"/>
    <w:rPr>
      <w:rFonts w:ascii="Segoe UI" w:eastAsia="Arial" w:hAnsi="Segoe UI" w:cs="Segoe UI"/>
      <w:sz w:val="18"/>
      <w:szCs w:val="18"/>
      <w:lang w:val="en-GB"/>
    </w:rPr>
  </w:style>
  <w:style w:type="character" w:customStyle="1" w:styleId="UnresolvedMention2">
    <w:name w:val="Unresolved Mention2"/>
    <w:basedOn w:val="DefaultParagraphFont"/>
    <w:uiPriority w:val="99"/>
    <w:semiHidden/>
    <w:unhideWhenUsed/>
    <w:rsid w:val="00AD657F"/>
    <w:rPr>
      <w:color w:val="605E5C"/>
      <w:shd w:val="clear" w:color="auto" w:fill="E1DFDD"/>
    </w:rPr>
  </w:style>
  <w:style w:type="paragraph" w:styleId="Subtitle">
    <w:name w:val="Subtitle"/>
    <w:basedOn w:val="Normal"/>
    <w:next w:val="Normal"/>
    <w:link w:val="SubtitleChar"/>
    <w:uiPriority w:val="11"/>
    <w:qFormat/>
    <w:rsid w:val="00CF27D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F27DF"/>
    <w:rPr>
      <w:rFonts w:eastAsiaTheme="minorEastAsia"/>
      <w:color w:val="5A5A5A" w:themeColor="text1" w:themeTint="A5"/>
      <w:spacing w:val="15"/>
      <w:lang w:val="en-GB"/>
    </w:rPr>
  </w:style>
  <w:style w:type="character" w:customStyle="1" w:styleId="Heading2Char">
    <w:name w:val="Heading 2 Char"/>
    <w:basedOn w:val="DefaultParagraphFont"/>
    <w:link w:val="Heading2"/>
    <w:uiPriority w:val="9"/>
    <w:rsid w:val="006368AB"/>
    <w:rPr>
      <w:rFonts w:ascii="Arial" w:hAnsi="Arial" w:cs="Arial"/>
      <w:b/>
      <w:lang w:val="en-GB"/>
    </w:rPr>
  </w:style>
  <w:style w:type="paragraph" w:styleId="Revision">
    <w:name w:val="Revision"/>
    <w:hidden/>
    <w:uiPriority w:val="99"/>
    <w:semiHidden/>
    <w:rsid w:val="00D74887"/>
    <w:pPr>
      <w:widowControl/>
      <w:autoSpaceDE/>
      <w:autoSpaceDN/>
    </w:pPr>
    <w:rPr>
      <w:rFonts w:ascii="Arial" w:eastAsia="Arial" w:hAnsi="Arial" w:cs="Arial"/>
      <w:lang w:val="en-GB"/>
    </w:rPr>
  </w:style>
  <w:style w:type="paragraph" w:customStyle="1" w:styleId="paragraph">
    <w:name w:val="paragraph"/>
    <w:basedOn w:val="Normal"/>
    <w:rsid w:val="00692513"/>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92513"/>
  </w:style>
  <w:style w:type="character" w:customStyle="1" w:styleId="eop">
    <w:name w:val="eop"/>
    <w:basedOn w:val="DefaultParagraphFont"/>
    <w:rsid w:val="00692513"/>
  </w:style>
  <w:style w:type="character" w:customStyle="1" w:styleId="wacimagecontainer">
    <w:name w:val="wacimagecontainer"/>
    <w:basedOn w:val="DefaultParagraphFont"/>
    <w:rsid w:val="00692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488">
      <w:bodyDiv w:val="1"/>
      <w:marLeft w:val="0"/>
      <w:marRight w:val="0"/>
      <w:marTop w:val="0"/>
      <w:marBottom w:val="0"/>
      <w:divBdr>
        <w:top w:val="none" w:sz="0" w:space="0" w:color="auto"/>
        <w:left w:val="none" w:sz="0" w:space="0" w:color="auto"/>
        <w:bottom w:val="none" w:sz="0" w:space="0" w:color="auto"/>
        <w:right w:val="none" w:sz="0" w:space="0" w:color="auto"/>
      </w:divBdr>
    </w:div>
    <w:div w:id="962224996">
      <w:bodyDiv w:val="1"/>
      <w:marLeft w:val="0"/>
      <w:marRight w:val="0"/>
      <w:marTop w:val="0"/>
      <w:marBottom w:val="0"/>
      <w:divBdr>
        <w:top w:val="none" w:sz="0" w:space="0" w:color="auto"/>
        <w:left w:val="none" w:sz="0" w:space="0" w:color="auto"/>
        <w:bottom w:val="none" w:sz="0" w:space="0" w:color="auto"/>
        <w:right w:val="none" w:sz="0" w:space="0" w:color="auto"/>
      </w:divBdr>
    </w:div>
    <w:div w:id="1215654212">
      <w:bodyDiv w:val="1"/>
      <w:marLeft w:val="0"/>
      <w:marRight w:val="0"/>
      <w:marTop w:val="0"/>
      <w:marBottom w:val="0"/>
      <w:divBdr>
        <w:top w:val="none" w:sz="0" w:space="0" w:color="auto"/>
        <w:left w:val="none" w:sz="0" w:space="0" w:color="auto"/>
        <w:bottom w:val="none" w:sz="0" w:space="0" w:color="auto"/>
        <w:right w:val="none" w:sz="0" w:space="0" w:color="auto"/>
      </w:divBdr>
    </w:div>
    <w:div w:id="2139567402">
      <w:bodyDiv w:val="1"/>
      <w:marLeft w:val="0"/>
      <w:marRight w:val="0"/>
      <w:marTop w:val="0"/>
      <w:marBottom w:val="0"/>
      <w:divBdr>
        <w:top w:val="none" w:sz="0" w:space="0" w:color="auto"/>
        <w:left w:val="none" w:sz="0" w:space="0" w:color="auto"/>
        <w:bottom w:val="none" w:sz="0" w:space="0" w:color="auto"/>
        <w:right w:val="none" w:sz="0" w:space="0" w:color="auto"/>
      </w:divBdr>
      <w:divsChild>
        <w:div w:id="618268855">
          <w:marLeft w:val="0"/>
          <w:marRight w:val="0"/>
          <w:marTop w:val="0"/>
          <w:marBottom w:val="0"/>
          <w:divBdr>
            <w:top w:val="none" w:sz="0" w:space="0" w:color="auto"/>
            <w:left w:val="none" w:sz="0" w:space="0" w:color="auto"/>
            <w:bottom w:val="none" w:sz="0" w:space="0" w:color="auto"/>
            <w:right w:val="none" w:sz="0" w:space="0" w:color="auto"/>
          </w:divBdr>
          <w:divsChild>
            <w:div w:id="824786883">
              <w:marLeft w:val="0"/>
              <w:marRight w:val="0"/>
              <w:marTop w:val="0"/>
              <w:marBottom w:val="0"/>
              <w:divBdr>
                <w:top w:val="none" w:sz="0" w:space="0" w:color="auto"/>
                <w:left w:val="none" w:sz="0" w:space="0" w:color="auto"/>
                <w:bottom w:val="none" w:sz="0" w:space="0" w:color="auto"/>
                <w:right w:val="none" w:sz="0" w:space="0" w:color="auto"/>
              </w:divBdr>
            </w:div>
            <w:div w:id="199710444">
              <w:marLeft w:val="0"/>
              <w:marRight w:val="0"/>
              <w:marTop w:val="0"/>
              <w:marBottom w:val="0"/>
              <w:divBdr>
                <w:top w:val="none" w:sz="0" w:space="0" w:color="auto"/>
                <w:left w:val="none" w:sz="0" w:space="0" w:color="auto"/>
                <w:bottom w:val="none" w:sz="0" w:space="0" w:color="auto"/>
                <w:right w:val="none" w:sz="0" w:space="0" w:color="auto"/>
              </w:divBdr>
            </w:div>
            <w:div w:id="1289355829">
              <w:marLeft w:val="0"/>
              <w:marRight w:val="0"/>
              <w:marTop w:val="0"/>
              <w:marBottom w:val="0"/>
              <w:divBdr>
                <w:top w:val="none" w:sz="0" w:space="0" w:color="auto"/>
                <w:left w:val="none" w:sz="0" w:space="0" w:color="auto"/>
                <w:bottom w:val="none" w:sz="0" w:space="0" w:color="auto"/>
                <w:right w:val="none" w:sz="0" w:space="0" w:color="auto"/>
              </w:divBdr>
            </w:div>
            <w:div w:id="955793020">
              <w:marLeft w:val="0"/>
              <w:marRight w:val="0"/>
              <w:marTop w:val="0"/>
              <w:marBottom w:val="0"/>
              <w:divBdr>
                <w:top w:val="none" w:sz="0" w:space="0" w:color="auto"/>
                <w:left w:val="none" w:sz="0" w:space="0" w:color="auto"/>
                <w:bottom w:val="none" w:sz="0" w:space="0" w:color="auto"/>
                <w:right w:val="none" w:sz="0" w:space="0" w:color="auto"/>
              </w:divBdr>
            </w:div>
            <w:div w:id="930698643">
              <w:marLeft w:val="0"/>
              <w:marRight w:val="0"/>
              <w:marTop w:val="0"/>
              <w:marBottom w:val="0"/>
              <w:divBdr>
                <w:top w:val="none" w:sz="0" w:space="0" w:color="auto"/>
                <w:left w:val="none" w:sz="0" w:space="0" w:color="auto"/>
                <w:bottom w:val="none" w:sz="0" w:space="0" w:color="auto"/>
                <w:right w:val="none" w:sz="0" w:space="0" w:color="auto"/>
              </w:divBdr>
            </w:div>
            <w:div w:id="368267370">
              <w:marLeft w:val="0"/>
              <w:marRight w:val="0"/>
              <w:marTop w:val="0"/>
              <w:marBottom w:val="0"/>
              <w:divBdr>
                <w:top w:val="none" w:sz="0" w:space="0" w:color="auto"/>
                <w:left w:val="none" w:sz="0" w:space="0" w:color="auto"/>
                <w:bottom w:val="none" w:sz="0" w:space="0" w:color="auto"/>
                <w:right w:val="none" w:sz="0" w:space="0" w:color="auto"/>
              </w:divBdr>
            </w:div>
            <w:div w:id="2137794262">
              <w:marLeft w:val="0"/>
              <w:marRight w:val="0"/>
              <w:marTop w:val="0"/>
              <w:marBottom w:val="0"/>
              <w:divBdr>
                <w:top w:val="none" w:sz="0" w:space="0" w:color="auto"/>
                <w:left w:val="none" w:sz="0" w:space="0" w:color="auto"/>
                <w:bottom w:val="none" w:sz="0" w:space="0" w:color="auto"/>
                <w:right w:val="none" w:sz="0" w:space="0" w:color="auto"/>
              </w:divBdr>
            </w:div>
            <w:div w:id="1835292367">
              <w:marLeft w:val="0"/>
              <w:marRight w:val="0"/>
              <w:marTop w:val="0"/>
              <w:marBottom w:val="0"/>
              <w:divBdr>
                <w:top w:val="none" w:sz="0" w:space="0" w:color="auto"/>
                <w:left w:val="none" w:sz="0" w:space="0" w:color="auto"/>
                <w:bottom w:val="none" w:sz="0" w:space="0" w:color="auto"/>
                <w:right w:val="none" w:sz="0" w:space="0" w:color="auto"/>
              </w:divBdr>
            </w:div>
            <w:div w:id="1435635317">
              <w:marLeft w:val="0"/>
              <w:marRight w:val="0"/>
              <w:marTop w:val="0"/>
              <w:marBottom w:val="0"/>
              <w:divBdr>
                <w:top w:val="none" w:sz="0" w:space="0" w:color="auto"/>
                <w:left w:val="none" w:sz="0" w:space="0" w:color="auto"/>
                <w:bottom w:val="none" w:sz="0" w:space="0" w:color="auto"/>
                <w:right w:val="none" w:sz="0" w:space="0" w:color="auto"/>
              </w:divBdr>
            </w:div>
            <w:div w:id="999961044">
              <w:marLeft w:val="0"/>
              <w:marRight w:val="0"/>
              <w:marTop w:val="0"/>
              <w:marBottom w:val="0"/>
              <w:divBdr>
                <w:top w:val="none" w:sz="0" w:space="0" w:color="auto"/>
                <w:left w:val="none" w:sz="0" w:space="0" w:color="auto"/>
                <w:bottom w:val="none" w:sz="0" w:space="0" w:color="auto"/>
                <w:right w:val="none" w:sz="0" w:space="0" w:color="auto"/>
              </w:divBdr>
            </w:div>
            <w:div w:id="465927806">
              <w:marLeft w:val="0"/>
              <w:marRight w:val="0"/>
              <w:marTop w:val="0"/>
              <w:marBottom w:val="0"/>
              <w:divBdr>
                <w:top w:val="none" w:sz="0" w:space="0" w:color="auto"/>
                <w:left w:val="none" w:sz="0" w:space="0" w:color="auto"/>
                <w:bottom w:val="none" w:sz="0" w:space="0" w:color="auto"/>
                <w:right w:val="none" w:sz="0" w:space="0" w:color="auto"/>
              </w:divBdr>
            </w:div>
            <w:div w:id="1272008888">
              <w:marLeft w:val="0"/>
              <w:marRight w:val="0"/>
              <w:marTop w:val="0"/>
              <w:marBottom w:val="0"/>
              <w:divBdr>
                <w:top w:val="none" w:sz="0" w:space="0" w:color="auto"/>
                <w:left w:val="none" w:sz="0" w:space="0" w:color="auto"/>
                <w:bottom w:val="none" w:sz="0" w:space="0" w:color="auto"/>
                <w:right w:val="none" w:sz="0" w:space="0" w:color="auto"/>
              </w:divBdr>
            </w:div>
            <w:div w:id="1425103091">
              <w:marLeft w:val="0"/>
              <w:marRight w:val="0"/>
              <w:marTop w:val="0"/>
              <w:marBottom w:val="0"/>
              <w:divBdr>
                <w:top w:val="none" w:sz="0" w:space="0" w:color="auto"/>
                <w:left w:val="none" w:sz="0" w:space="0" w:color="auto"/>
                <w:bottom w:val="none" w:sz="0" w:space="0" w:color="auto"/>
                <w:right w:val="none" w:sz="0" w:space="0" w:color="auto"/>
              </w:divBdr>
            </w:div>
            <w:div w:id="2080133308">
              <w:marLeft w:val="0"/>
              <w:marRight w:val="0"/>
              <w:marTop w:val="0"/>
              <w:marBottom w:val="0"/>
              <w:divBdr>
                <w:top w:val="none" w:sz="0" w:space="0" w:color="auto"/>
                <w:left w:val="none" w:sz="0" w:space="0" w:color="auto"/>
                <w:bottom w:val="none" w:sz="0" w:space="0" w:color="auto"/>
                <w:right w:val="none" w:sz="0" w:space="0" w:color="auto"/>
              </w:divBdr>
            </w:div>
            <w:div w:id="1519927495">
              <w:marLeft w:val="0"/>
              <w:marRight w:val="0"/>
              <w:marTop w:val="0"/>
              <w:marBottom w:val="0"/>
              <w:divBdr>
                <w:top w:val="none" w:sz="0" w:space="0" w:color="auto"/>
                <w:left w:val="none" w:sz="0" w:space="0" w:color="auto"/>
                <w:bottom w:val="none" w:sz="0" w:space="0" w:color="auto"/>
                <w:right w:val="none" w:sz="0" w:space="0" w:color="auto"/>
              </w:divBdr>
            </w:div>
            <w:div w:id="637345617">
              <w:marLeft w:val="0"/>
              <w:marRight w:val="0"/>
              <w:marTop w:val="0"/>
              <w:marBottom w:val="0"/>
              <w:divBdr>
                <w:top w:val="none" w:sz="0" w:space="0" w:color="auto"/>
                <w:left w:val="none" w:sz="0" w:space="0" w:color="auto"/>
                <w:bottom w:val="none" w:sz="0" w:space="0" w:color="auto"/>
                <w:right w:val="none" w:sz="0" w:space="0" w:color="auto"/>
              </w:divBdr>
            </w:div>
            <w:div w:id="57899219">
              <w:marLeft w:val="0"/>
              <w:marRight w:val="0"/>
              <w:marTop w:val="0"/>
              <w:marBottom w:val="0"/>
              <w:divBdr>
                <w:top w:val="none" w:sz="0" w:space="0" w:color="auto"/>
                <w:left w:val="none" w:sz="0" w:space="0" w:color="auto"/>
                <w:bottom w:val="none" w:sz="0" w:space="0" w:color="auto"/>
                <w:right w:val="none" w:sz="0" w:space="0" w:color="auto"/>
              </w:divBdr>
            </w:div>
            <w:div w:id="1686327915">
              <w:marLeft w:val="0"/>
              <w:marRight w:val="0"/>
              <w:marTop w:val="0"/>
              <w:marBottom w:val="0"/>
              <w:divBdr>
                <w:top w:val="none" w:sz="0" w:space="0" w:color="auto"/>
                <w:left w:val="none" w:sz="0" w:space="0" w:color="auto"/>
                <w:bottom w:val="none" w:sz="0" w:space="0" w:color="auto"/>
                <w:right w:val="none" w:sz="0" w:space="0" w:color="auto"/>
              </w:divBdr>
            </w:div>
            <w:div w:id="1674453529">
              <w:marLeft w:val="0"/>
              <w:marRight w:val="0"/>
              <w:marTop w:val="0"/>
              <w:marBottom w:val="0"/>
              <w:divBdr>
                <w:top w:val="none" w:sz="0" w:space="0" w:color="auto"/>
                <w:left w:val="none" w:sz="0" w:space="0" w:color="auto"/>
                <w:bottom w:val="none" w:sz="0" w:space="0" w:color="auto"/>
                <w:right w:val="none" w:sz="0" w:space="0" w:color="auto"/>
              </w:divBdr>
            </w:div>
          </w:divsChild>
        </w:div>
        <w:div w:id="268512579">
          <w:marLeft w:val="0"/>
          <w:marRight w:val="0"/>
          <w:marTop w:val="0"/>
          <w:marBottom w:val="0"/>
          <w:divBdr>
            <w:top w:val="none" w:sz="0" w:space="0" w:color="auto"/>
            <w:left w:val="none" w:sz="0" w:space="0" w:color="auto"/>
            <w:bottom w:val="none" w:sz="0" w:space="0" w:color="auto"/>
            <w:right w:val="none" w:sz="0" w:space="0" w:color="auto"/>
          </w:divBdr>
          <w:divsChild>
            <w:div w:id="1382633595">
              <w:marLeft w:val="0"/>
              <w:marRight w:val="0"/>
              <w:marTop w:val="0"/>
              <w:marBottom w:val="0"/>
              <w:divBdr>
                <w:top w:val="none" w:sz="0" w:space="0" w:color="auto"/>
                <w:left w:val="none" w:sz="0" w:space="0" w:color="auto"/>
                <w:bottom w:val="none" w:sz="0" w:space="0" w:color="auto"/>
                <w:right w:val="none" w:sz="0" w:space="0" w:color="auto"/>
              </w:divBdr>
            </w:div>
            <w:div w:id="531843795">
              <w:marLeft w:val="0"/>
              <w:marRight w:val="0"/>
              <w:marTop w:val="0"/>
              <w:marBottom w:val="0"/>
              <w:divBdr>
                <w:top w:val="none" w:sz="0" w:space="0" w:color="auto"/>
                <w:left w:val="none" w:sz="0" w:space="0" w:color="auto"/>
                <w:bottom w:val="none" w:sz="0" w:space="0" w:color="auto"/>
                <w:right w:val="none" w:sz="0" w:space="0" w:color="auto"/>
              </w:divBdr>
            </w:div>
            <w:div w:id="420221219">
              <w:marLeft w:val="0"/>
              <w:marRight w:val="0"/>
              <w:marTop w:val="0"/>
              <w:marBottom w:val="0"/>
              <w:divBdr>
                <w:top w:val="none" w:sz="0" w:space="0" w:color="auto"/>
                <w:left w:val="none" w:sz="0" w:space="0" w:color="auto"/>
                <w:bottom w:val="none" w:sz="0" w:space="0" w:color="auto"/>
                <w:right w:val="none" w:sz="0" w:space="0" w:color="auto"/>
              </w:divBdr>
            </w:div>
            <w:div w:id="1943754838">
              <w:marLeft w:val="0"/>
              <w:marRight w:val="0"/>
              <w:marTop w:val="0"/>
              <w:marBottom w:val="0"/>
              <w:divBdr>
                <w:top w:val="none" w:sz="0" w:space="0" w:color="auto"/>
                <w:left w:val="none" w:sz="0" w:space="0" w:color="auto"/>
                <w:bottom w:val="none" w:sz="0" w:space="0" w:color="auto"/>
                <w:right w:val="none" w:sz="0" w:space="0" w:color="auto"/>
              </w:divBdr>
            </w:div>
            <w:div w:id="476174">
              <w:marLeft w:val="0"/>
              <w:marRight w:val="0"/>
              <w:marTop w:val="0"/>
              <w:marBottom w:val="0"/>
              <w:divBdr>
                <w:top w:val="none" w:sz="0" w:space="0" w:color="auto"/>
                <w:left w:val="none" w:sz="0" w:space="0" w:color="auto"/>
                <w:bottom w:val="none" w:sz="0" w:space="0" w:color="auto"/>
                <w:right w:val="none" w:sz="0" w:space="0" w:color="auto"/>
              </w:divBdr>
            </w:div>
            <w:div w:id="1523199664">
              <w:marLeft w:val="0"/>
              <w:marRight w:val="0"/>
              <w:marTop w:val="0"/>
              <w:marBottom w:val="0"/>
              <w:divBdr>
                <w:top w:val="none" w:sz="0" w:space="0" w:color="auto"/>
                <w:left w:val="none" w:sz="0" w:space="0" w:color="auto"/>
                <w:bottom w:val="none" w:sz="0" w:space="0" w:color="auto"/>
                <w:right w:val="none" w:sz="0" w:space="0" w:color="auto"/>
              </w:divBdr>
            </w:div>
            <w:div w:id="417097164">
              <w:marLeft w:val="0"/>
              <w:marRight w:val="0"/>
              <w:marTop w:val="0"/>
              <w:marBottom w:val="0"/>
              <w:divBdr>
                <w:top w:val="none" w:sz="0" w:space="0" w:color="auto"/>
                <w:left w:val="none" w:sz="0" w:space="0" w:color="auto"/>
                <w:bottom w:val="none" w:sz="0" w:space="0" w:color="auto"/>
                <w:right w:val="none" w:sz="0" w:space="0" w:color="auto"/>
              </w:divBdr>
            </w:div>
            <w:div w:id="1662805256">
              <w:marLeft w:val="0"/>
              <w:marRight w:val="0"/>
              <w:marTop w:val="0"/>
              <w:marBottom w:val="0"/>
              <w:divBdr>
                <w:top w:val="none" w:sz="0" w:space="0" w:color="auto"/>
                <w:left w:val="none" w:sz="0" w:space="0" w:color="auto"/>
                <w:bottom w:val="none" w:sz="0" w:space="0" w:color="auto"/>
                <w:right w:val="none" w:sz="0" w:space="0" w:color="auto"/>
              </w:divBdr>
            </w:div>
            <w:div w:id="176038415">
              <w:marLeft w:val="0"/>
              <w:marRight w:val="0"/>
              <w:marTop w:val="0"/>
              <w:marBottom w:val="0"/>
              <w:divBdr>
                <w:top w:val="none" w:sz="0" w:space="0" w:color="auto"/>
                <w:left w:val="none" w:sz="0" w:space="0" w:color="auto"/>
                <w:bottom w:val="none" w:sz="0" w:space="0" w:color="auto"/>
                <w:right w:val="none" w:sz="0" w:space="0" w:color="auto"/>
              </w:divBdr>
            </w:div>
            <w:div w:id="464547733">
              <w:marLeft w:val="0"/>
              <w:marRight w:val="0"/>
              <w:marTop w:val="0"/>
              <w:marBottom w:val="0"/>
              <w:divBdr>
                <w:top w:val="none" w:sz="0" w:space="0" w:color="auto"/>
                <w:left w:val="none" w:sz="0" w:space="0" w:color="auto"/>
                <w:bottom w:val="none" w:sz="0" w:space="0" w:color="auto"/>
                <w:right w:val="none" w:sz="0" w:space="0" w:color="auto"/>
              </w:divBdr>
            </w:div>
            <w:div w:id="1074084789">
              <w:marLeft w:val="0"/>
              <w:marRight w:val="0"/>
              <w:marTop w:val="0"/>
              <w:marBottom w:val="0"/>
              <w:divBdr>
                <w:top w:val="none" w:sz="0" w:space="0" w:color="auto"/>
                <w:left w:val="none" w:sz="0" w:space="0" w:color="auto"/>
                <w:bottom w:val="none" w:sz="0" w:space="0" w:color="auto"/>
                <w:right w:val="none" w:sz="0" w:space="0" w:color="auto"/>
              </w:divBdr>
            </w:div>
            <w:div w:id="611941761">
              <w:marLeft w:val="0"/>
              <w:marRight w:val="0"/>
              <w:marTop w:val="0"/>
              <w:marBottom w:val="0"/>
              <w:divBdr>
                <w:top w:val="none" w:sz="0" w:space="0" w:color="auto"/>
                <w:left w:val="none" w:sz="0" w:space="0" w:color="auto"/>
                <w:bottom w:val="none" w:sz="0" w:space="0" w:color="auto"/>
                <w:right w:val="none" w:sz="0" w:space="0" w:color="auto"/>
              </w:divBdr>
            </w:div>
            <w:div w:id="2115591821">
              <w:marLeft w:val="0"/>
              <w:marRight w:val="0"/>
              <w:marTop w:val="0"/>
              <w:marBottom w:val="0"/>
              <w:divBdr>
                <w:top w:val="none" w:sz="0" w:space="0" w:color="auto"/>
                <w:left w:val="none" w:sz="0" w:space="0" w:color="auto"/>
                <w:bottom w:val="none" w:sz="0" w:space="0" w:color="auto"/>
                <w:right w:val="none" w:sz="0" w:space="0" w:color="auto"/>
              </w:divBdr>
            </w:div>
            <w:div w:id="1765034282">
              <w:marLeft w:val="0"/>
              <w:marRight w:val="0"/>
              <w:marTop w:val="0"/>
              <w:marBottom w:val="0"/>
              <w:divBdr>
                <w:top w:val="none" w:sz="0" w:space="0" w:color="auto"/>
                <w:left w:val="none" w:sz="0" w:space="0" w:color="auto"/>
                <w:bottom w:val="none" w:sz="0" w:space="0" w:color="auto"/>
                <w:right w:val="none" w:sz="0" w:space="0" w:color="auto"/>
              </w:divBdr>
            </w:div>
            <w:div w:id="20561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microsoft.com/office/2014/relationships/chartEx" Target="charts/chartEx1.xml"/><Relationship Id="rId26" Type="http://schemas.openxmlformats.org/officeDocument/2006/relationships/image" Target="media/image1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mailto:petertilston@westlondonwaste.gov.uk" TargetMode="External"/><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 Id="rId27" Type="http://schemas.openxmlformats.org/officeDocument/2006/relationships/fontTable" Target="fontTable.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https://westlondonwasteauthority-my.sharepoint.com/personal/larisatabacaru_westlondonwaste_gov_uk/Documents/Desktop/Working%20Info/Reports/Authority%20reports/workbook.xlsx" TargetMode="External"/></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'[workbook.xlsx]WLWA - avg % composition'!$F$21:$F$33</cx:f>
        <cx:lvl ptCount="13">
          <cx:pt idx="0">Food waste</cx:pt>
          <cx:pt idx="1">Plastics</cx:pt>
          <cx:pt idx="2">Textiles</cx:pt>
          <cx:pt idx="3">WEEE</cx:pt>
          <cx:pt idx="4">Paper</cx:pt>
          <cx:pt idx="5">Cardboard</cx:pt>
          <cx:pt idx="6">Glass</cx:pt>
          <cx:pt idx="7">Metals</cx:pt>
          <cx:pt idx="8">AHP</cx:pt>
          <cx:pt idx="9">NRC</cx:pt>
          <cx:pt idx="10">NRNC</cx:pt>
          <cx:pt idx="11">Garden waste</cx:pt>
          <cx:pt idx="12">HHW</cx:pt>
        </cx:lvl>
      </cx:strDim>
      <cx:numDim type="size">
        <cx:f>'[workbook.xlsx]WLWA - avg % composition'!$G$21:$G$33</cx:f>
        <cx:lvl ptCount="13" formatCode="0%">
          <cx:pt idx="0">0.35049262239295059</cx:pt>
          <cx:pt idx="1">0.035547973669078463</cx:pt>
          <cx:pt idx="2">0.062343840383197568</cx:pt>
          <cx:pt idx="3">0.010757777243823298</cx:pt>
          <cx:pt idx="4">0.024828625978895635</cx:pt>
          <cx:pt idx="5">0.053102138584810964</cx:pt>
          <cx:pt idx="6">0.029271977819959639</cx:pt>
          <cx:pt idx="7">0.01789867152171002</cx:pt>
          <cx:pt idx="8">0.0873815895646331</cx:pt>
          <cx:pt idx="9">0.23273805150553631</cx:pt>
          <cx:pt idx="10">0.045152604981240942</cx:pt>
          <cx:pt idx="11">0.029882647346411568</cx:pt>
          <cx:pt idx="12">0.018061958480143876</cx:pt>
        </cx:lvl>
      </cx:numDim>
    </cx:data>
  </cx:chartData>
  <cx:chart>
    <cx:title pos="t" align="ctr" overlay="0">
      <cx:tx>
        <cx:txData>
          <cx:v>2023 WLWA average waste composition</cx:v>
        </cx:txData>
      </cx:tx>
      <cx:txPr>
        <a:bodyPr spcFirstLastPara="1" vertOverflow="ellipsis" horzOverflow="overflow" wrap="square" lIns="0" tIns="0" rIns="0" bIns="0" anchor="ctr" anchorCtr="1"/>
        <a:lstStyle/>
        <a:p>
          <a:pPr algn="ctr" rtl="0">
            <a:defRPr/>
          </a:pPr>
          <a:r>
            <a:rPr lang="en-US" sz="1400" b="0" i="0" u="none" strike="noStrike" baseline="0">
              <a:solidFill>
                <a:sysClr val="windowText" lastClr="000000">
                  <a:lumMod val="65000"/>
                  <a:lumOff val="35000"/>
                </a:sysClr>
              </a:solidFill>
              <a:latin typeface="Calibri" panose="020F0502020204030204"/>
            </a:rPr>
            <a:t>2023 WLWA average waste composition</a:t>
          </a:r>
        </a:p>
      </cx:txPr>
    </cx:title>
    <cx:plotArea>
      <cx:plotAreaRegion>
        <cx:series layoutId="treemap" uniqueId="{1506C4BD-2D4F-432A-9575-EEE3962D4F18}">
          <cx:tx>
            <cx:txData>
              <cx:f>'[workbook.xlsx]WLWA - avg % composition'!$G$20</cx:f>
              <cx:v> Concentration %</cx:v>
            </cx:txData>
          </cx:tx>
          <cx:dataPt idx="0">
            <cx:spPr>
              <a:solidFill>
                <a:srgbClr val="ED7D31">
                  <a:lumMod val="50000"/>
                </a:srgbClr>
              </a:solidFill>
            </cx:spPr>
          </cx:dataPt>
          <cx:dataPt idx="1">
            <cx:spPr>
              <a:solidFill>
                <a:srgbClr val="00B050"/>
              </a:solidFill>
            </cx:spPr>
          </cx:dataPt>
          <cx:dataPt idx="2">
            <cx:spPr>
              <a:solidFill>
                <a:srgbClr val="F68B16"/>
              </a:solidFill>
            </cx:spPr>
          </cx:dataPt>
          <cx:dataPt idx="3">
            <cx:spPr>
              <a:solidFill>
                <a:srgbClr val="70AD47">
                  <a:lumMod val="50000"/>
                </a:srgbClr>
              </a:solidFill>
            </cx:spPr>
          </cx:dataPt>
          <cx:dataPt idx="5">
            <cx:spPr>
              <a:solidFill>
                <a:srgbClr val="FF5050"/>
              </a:solidFill>
            </cx:spPr>
          </cx:dataPt>
          <cx:dataPt idx="6">
            <cx:spPr>
              <a:solidFill>
                <a:srgbClr val="7030A0"/>
              </a:solidFill>
            </cx:spPr>
          </cx:dataPt>
          <cx:dataPt idx="7">
            <cx:spPr>
              <a:solidFill>
                <a:srgbClr val="5B9BD5"/>
              </a:solidFill>
            </cx:spPr>
          </cx:dataPt>
          <cx:dataPt idx="9">
            <cx:spPr>
              <a:solidFill>
                <a:srgbClr val="660033"/>
              </a:solidFill>
            </cx:spPr>
          </cx:dataPt>
          <cx:dataPt idx="10">
            <cx:spPr>
              <a:solidFill>
                <a:srgbClr val="FFC000">
                  <a:lumMod val="75000"/>
                </a:srgbClr>
              </a:solidFill>
            </cx:spPr>
          </cx:dataPt>
          <cx:dataPt idx="11">
            <cx:spPr>
              <a:solidFill>
                <a:srgbClr val="ED7D31">
                  <a:lumMod val="75000"/>
                </a:srgbClr>
              </a:solidFill>
            </cx:spPr>
          </cx:dataPt>
          <cx:dataPt idx="12">
            <cx:spPr>
              <a:solidFill>
                <a:srgbClr val="D212B7"/>
              </a:solidFill>
            </cx:spPr>
          </cx:dataPt>
          <cx:dataLabels pos="inEnd">
            <cx:visibility seriesName="0" categoryName="1" value="1"/>
            <cx:separator>, </cx:separator>
            <cx:dataLabel idx="0">
              <cx:visibility seriesName="0" categoryName="1" value="1"/>
              <cx:separator>, </cx:separator>
            </cx:dataLabel>
          </cx:dataLabels>
          <cx:dataId val="0"/>
          <cx:layoutPr>
            <cx:parentLabelLayout val="overlapping"/>
          </cx:layoutPr>
        </cx:series>
      </cx:plotAreaRegion>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lt1"/>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919617CD1CCE4D828F7CB8F79F4999" ma:contentTypeVersion="14" ma:contentTypeDescription="Create a new document." ma:contentTypeScope="" ma:versionID="109497051e1f27b6aeaa59cc706d2e84">
  <xsd:schema xmlns:xsd="http://www.w3.org/2001/XMLSchema" xmlns:xs="http://www.w3.org/2001/XMLSchema" xmlns:p="http://schemas.microsoft.com/office/2006/metadata/properties" xmlns:ns3="ce30a8b6-690b-4fb4-bb74-d8f0ee2e935f" xmlns:ns4="3482b747-53f4-4157-b700-49f8c7a2d410" targetNamespace="http://schemas.microsoft.com/office/2006/metadata/properties" ma:root="true" ma:fieldsID="33632d40506bb7f946c29135ca6e61eb" ns3:_="" ns4:_="">
    <xsd:import namespace="ce30a8b6-690b-4fb4-bb74-d8f0ee2e935f"/>
    <xsd:import namespace="3482b747-53f4-4157-b700-49f8c7a2d4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0a8b6-690b-4fb4-bb74-d8f0ee2e93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2b747-53f4-4157-b700-49f8c7a2d4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5B75C3-7B7B-4363-AF28-D99729ED7812}">
  <ds:schemaRefs>
    <ds:schemaRef ds:uri="http://schemas.microsoft.com/sharepoint/v3/contenttype/forms"/>
  </ds:schemaRefs>
</ds:datastoreItem>
</file>

<file path=customXml/itemProps2.xml><?xml version="1.0" encoding="utf-8"?>
<ds:datastoreItem xmlns:ds="http://schemas.openxmlformats.org/officeDocument/2006/customXml" ds:itemID="{6AB4F0C2-6C78-4369-BC28-4AB962218598}">
  <ds:schemaRefs>
    <ds:schemaRef ds:uri="http://schemas.openxmlformats.org/officeDocument/2006/bibliography"/>
  </ds:schemaRefs>
</ds:datastoreItem>
</file>

<file path=customXml/itemProps3.xml><?xml version="1.0" encoding="utf-8"?>
<ds:datastoreItem xmlns:ds="http://schemas.openxmlformats.org/officeDocument/2006/customXml" ds:itemID="{0922CA68-C19C-4DEA-B0A1-557F6A9627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99805D-1820-4EEC-A8E8-2619B55E7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0a8b6-690b-4fb4-bb74-d8f0ee2e935f"/>
    <ds:schemaRef ds:uri="3482b747-53f4-4157-b700-49f8c7a2d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Peter Tilston</dc:creator>
  <cp:keywords/>
  <dc:description/>
  <cp:lastModifiedBy>Alison Atherton</cp:lastModifiedBy>
  <cp:revision>4</cp:revision>
  <cp:lastPrinted>2023-09-07T10:43:00Z</cp:lastPrinted>
  <dcterms:created xsi:type="dcterms:W3CDTF">2024-03-12T14:44:00Z</dcterms:created>
  <dcterms:modified xsi:type="dcterms:W3CDTF">2024-03-13T13:53:00Z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Microsoft® Word 2016</vt:lpwstr>
  </property>
  <property fmtid="{D5CDD505-2E9C-101B-9397-08002B2CF9AE}" pid="4" name="LastSaved">
    <vt:filetime>2021-06-10T00:00:00Z</vt:filetime>
  </property>
  <property fmtid="{D5CDD505-2E9C-101B-9397-08002B2CF9AE}" pid="5" name="ContentTypeId">
    <vt:lpwstr>0x0101000A919617CD1CCE4D828F7CB8F79F4999</vt:lpwstr>
  </property>
</Properties>
</file>